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83" w:rsidRPr="00D87383" w:rsidRDefault="00D87383" w:rsidP="00D87383">
      <w:pPr>
        <w:spacing w:after="0" w:line="240" w:lineRule="auto"/>
        <w:rPr>
          <w:rFonts w:ascii="Times New Roman" w:eastAsia="Times New Roman" w:hAnsi="Times New Roman" w:cs="Times New Roman"/>
          <w:sz w:val="24"/>
          <w:szCs w:val="24"/>
          <w:lang w:eastAsia="ru-RU"/>
        </w:rPr>
      </w:pPr>
      <w:bookmarkStart w:id="0" w:name="_GoBack"/>
      <w:bookmarkEnd w:id="0"/>
      <w:r w:rsidRPr="00D87383">
        <w:rPr>
          <w:rFonts w:ascii="Times New Roman" w:eastAsia="Times New Roman" w:hAnsi="Times New Roman" w:cs="Times New Roman"/>
          <w:sz w:val="24"/>
          <w:szCs w:val="24"/>
          <w:lang w:eastAsia="ru-RU"/>
        </w:rPr>
        <w:t>Действующий</w:t>
      </w:r>
    </w:p>
    <w:p w:rsidR="00D87383" w:rsidRPr="00D87383" w:rsidRDefault="00D87383" w:rsidP="00D87383">
      <w:pPr>
        <w:spacing w:before="100" w:beforeAutospacing="1" w:after="100" w:afterAutospacing="1" w:line="240" w:lineRule="auto"/>
        <w:contextualSpacing/>
        <w:outlineLvl w:val="0"/>
        <w:rPr>
          <w:rFonts w:ascii="Times New Roman" w:eastAsia="Times New Roman" w:hAnsi="Times New Roman" w:cs="Times New Roman"/>
          <w:b/>
          <w:bCs/>
          <w:kern w:val="36"/>
          <w:sz w:val="48"/>
          <w:szCs w:val="48"/>
          <w:lang w:eastAsia="ru-RU"/>
        </w:rPr>
      </w:pPr>
      <w:r w:rsidRPr="00D87383">
        <w:rPr>
          <w:rFonts w:ascii="Times New Roman" w:eastAsia="Times New Roman" w:hAnsi="Times New Roman" w:cs="Times New Roman"/>
          <w:b/>
          <w:bCs/>
          <w:kern w:val="36"/>
          <w:sz w:val="48"/>
          <w:szCs w:val="48"/>
          <w:lang w:eastAsia="ru-RU"/>
        </w:rPr>
        <w:t>Об обращении с твердыми коммунальными отходами и внесении изменения в постановление Правительства Российской Федерации от 25 августа 2008 года N 641</w:t>
      </w:r>
    </w:p>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w:t>
      </w:r>
      <w:r w:rsidRPr="00D87383">
        <w:rPr>
          <w:rFonts w:ascii="Times New Roman" w:eastAsia="Times New Roman" w:hAnsi="Times New Roman" w:cs="Times New Roman"/>
          <w:sz w:val="24"/>
          <w:szCs w:val="24"/>
          <w:lang w:eastAsia="ru-RU"/>
        </w:rPr>
        <w:br/>
        <w:t>ПРАВИТЕЛЬСТВО РОССИЙСКОЙ ФЕДЕРАЦИИ</w:t>
      </w:r>
    </w:p>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ПОСТАНОВЛЕНИЕ</w:t>
      </w:r>
    </w:p>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от 12 ноября 2016 года N 1156</w:t>
      </w:r>
    </w:p>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Об обращении с твердыми коммунальными отходами и внесении изменения в </w:t>
      </w:r>
      <w:hyperlink r:id="rId4" w:history="1">
        <w:r w:rsidRPr="00D8738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25 августа 2008 года N 641</w:t>
        </w:r>
      </w:hyperlink>
      <w:r w:rsidRPr="00D87383">
        <w:rPr>
          <w:rFonts w:ascii="Times New Roman" w:eastAsia="Times New Roman" w:hAnsi="Times New Roman" w:cs="Times New Roman"/>
          <w:sz w:val="24"/>
          <w:szCs w:val="24"/>
          <w:lang w:eastAsia="ru-RU"/>
        </w:rPr>
        <w:t xml:space="preserve"> </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 xml:space="preserve">В соответствии с </w:t>
      </w:r>
      <w:hyperlink r:id="rId5" w:history="1">
        <w:r w:rsidRPr="00D87383">
          <w:rPr>
            <w:rFonts w:ascii="Times New Roman" w:eastAsia="Times New Roman" w:hAnsi="Times New Roman" w:cs="Times New Roman"/>
            <w:color w:val="0000FF"/>
            <w:sz w:val="24"/>
            <w:szCs w:val="24"/>
            <w:u w:val="single"/>
            <w:lang w:eastAsia="ru-RU"/>
          </w:rPr>
          <w:t>Федеральным законом "Об отходах производства и потребления"</w:t>
        </w:r>
      </w:hyperlink>
      <w:r w:rsidRPr="00D87383">
        <w:rPr>
          <w:rFonts w:ascii="Times New Roman" w:eastAsia="Times New Roman" w:hAnsi="Times New Roman" w:cs="Times New Roman"/>
          <w:sz w:val="24"/>
          <w:szCs w:val="24"/>
          <w:lang w:eastAsia="ru-RU"/>
        </w:rPr>
        <w:t xml:space="preserve"> Правительство Российской Федерации </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постановляет:</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 Утвердить прилагаемые Правила обращения с твердыми коммунальными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 Утвердить прилагаемую форму типового договора на оказание услуг по обращению с твердыми коммунальными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3. </w:t>
      </w:r>
      <w:hyperlink r:id="rId6" w:history="1">
        <w:r w:rsidRPr="00D87383">
          <w:rPr>
            <w:rFonts w:ascii="Times New Roman" w:eastAsia="Times New Roman" w:hAnsi="Times New Roman" w:cs="Times New Roman"/>
            <w:color w:val="0000FF"/>
            <w:sz w:val="24"/>
            <w:szCs w:val="24"/>
            <w:u w:val="single"/>
            <w:lang w:eastAsia="ru-RU"/>
          </w:rPr>
          <w:t>Подпункт "г" пункта 1 постановления Правительства Российской Федерации от 25 августа 2008 года N 641 "Об оснащении транспортных, технических средств и систем аппаратурой спутниковой навигации ГЛОНАСС или ГЛОНАСС/GPS"</w:t>
        </w:r>
      </w:hyperlink>
      <w:r w:rsidRPr="00D87383">
        <w:rPr>
          <w:rFonts w:ascii="Times New Roman" w:eastAsia="Times New Roman" w:hAnsi="Times New Roman" w:cs="Times New Roman"/>
          <w:sz w:val="24"/>
          <w:szCs w:val="24"/>
          <w:lang w:eastAsia="ru-RU"/>
        </w:rPr>
        <w:t xml:space="preserve"> (Собрание законодательства Российской Федерации, 2008, N 35, ст.4037) дополнить словами ", транспортирования твердых коммунальных отходов".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Председатель Правительства</w:t>
      </w:r>
      <w:r w:rsidRPr="00D87383">
        <w:rPr>
          <w:rFonts w:ascii="Times New Roman" w:eastAsia="Times New Roman" w:hAnsi="Times New Roman" w:cs="Times New Roman"/>
          <w:sz w:val="24"/>
          <w:szCs w:val="24"/>
          <w:lang w:eastAsia="ru-RU"/>
        </w:rPr>
        <w:br/>
        <w:t>Российской Федерации</w:t>
      </w:r>
      <w:r w:rsidRPr="00D87383">
        <w:rPr>
          <w:rFonts w:ascii="Times New Roman" w:eastAsia="Times New Roman" w:hAnsi="Times New Roman" w:cs="Times New Roman"/>
          <w:sz w:val="24"/>
          <w:szCs w:val="24"/>
          <w:lang w:eastAsia="ru-RU"/>
        </w:rPr>
        <w:br/>
        <w:t xml:space="preserve">Д.Медведев </w:t>
      </w:r>
    </w:p>
    <w:p w:rsidR="00D87383" w:rsidRPr="00D87383" w:rsidRDefault="00D87383" w:rsidP="00D87383">
      <w:pPr>
        <w:spacing w:before="100" w:beforeAutospacing="1" w:after="100" w:afterAutospacing="1" w:line="240" w:lineRule="auto"/>
        <w:contextualSpacing/>
        <w:outlineLvl w:val="1"/>
        <w:rPr>
          <w:rFonts w:ascii="Times New Roman" w:eastAsia="Times New Roman" w:hAnsi="Times New Roman" w:cs="Times New Roman"/>
          <w:b/>
          <w:bCs/>
          <w:sz w:val="36"/>
          <w:szCs w:val="36"/>
          <w:lang w:eastAsia="ru-RU"/>
        </w:rPr>
      </w:pPr>
      <w:r w:rsidRPr="00D87383">
        <w:rPr>
          <w:rFonts w:ascii="Times New Roman" w:eastAsia="Times New Roman" w:hAnsi="Times New Roman" w:cs="Times New Roman"/>
          <w:b/>
          <w:bCs/>
          <w:sz w:val="36"/>
          <w:szCs w:val="36"/>
          <w:lang w:eastAsia="ru-RU"/>
        </w:rPr>
        <w:t>Правила обращения с твердыми коммунальными отходами</w:t>
      </w:r>
    </w:p>
    <w:p w:rsidR="00D87383" w:rsidRPr="00D87383" w:rsidRDefault="00D87383" w:rsidP="00D87383">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УТВЕРЖДЕНЫ</w:t>
      </w:r>
      <w:r w:rsidRPr="00D87383">
        <w:rPr>
          <w:rFonts w:ascii="Times New Roman" w:eastAsia="Times New Roman" w:hAnsi="Times New Roman" w:cs="Times New Roman"/>
          <w:sz w:val="24"/>
          <w:szCs w:val="24"/>
          <w:lang w:eastAsia="ru-RU"/>
        </w:rPr>
        <w:br/>
        <w:t>постановлением Правительства</w:t>
      </w:r>
      <w:r w:rsidRPr="00D87383">
        <w:rPr>
          <w:rFonts w:ascii="Times New Roman" w:eastAsia="Times New Roman" w:hAnsi="Times New Roman" w:cs="Times New Roman"/>
          <w:sz w:val="24"/>
          <w:szCs w:val="24"/>
          <w:lang w:eastAsia="ru-RU"/>
        </w:rPr>
        <w:br/>
        <w:t>Российской Федерации</w:t>
      </w:r>
      <w:r w:rsidRPr="00D87383">
        <w:rPr>
          <w:rFonts w:ascii="Times New Roman" w:eastAsia="Times New Roman" w:hAnsi="Times New Roman" w:cs="Times New Roman"/>
          <w:sz w:val="24"/>
          <w:szCs w:val="24"/>
          <w:lang w:eastAsia="ru-RU"/>
        </w:rPr>
        <w:br/>
        <w:t xml:space="preserve">от 12 ноября 2016 года N 1156 </w:t>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 Общие положения</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1. Настоящие Правила устанавливают порядок осуществления сбора, транспортирования, обработки, утилизации, обезвреживания и захоронения твердых коммунальных отходов, а также основания, по которым юридическое лицо может быть лишено статуса </w:t>
      </w:r>
      <w:r w:rsidRPr="00D87383">
        <w:rPr>
          <w:rFonts w:ascii="Times New Roman" w:eastAsia="Times New Roman" w:hAnsi="Times New Roman" w:cs="Times New Roman"/>
          <w:sz w:val="24"/>
          <w:szCs w:val="24"/>
          <w:lang w:eastAsia="ru-RU"/>
        </w:rPr>
        <w:lastRenderedPageBreak/>
        <w:t>регионального оператора по обращению с твердыми коммунальными отходами (далее - региональный оператор).</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2. В настоящих Правилах применяются следующие понятия: </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"бункер" - мусоросборник, предназначенный для складирования крупногабаритных отходов;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"контейнер" - мусоросборник, предназначенный для складирования твердых коммунальных отходов, за исключением крупногабаритных отходов;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"мусоровоз" - транспортное средство категории N, используемое для перевозки твердых коммунальных отходов;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Осуществление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lastRenderedPageBreak/>
        <w:t>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года N 641".</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6. Региональный оператор в течение месяца со дня наделения его статусом регионального оператора обязан направить всем потребителям по адресу многоквартирного дома или жилого дома, адресу, указанному в Едином государственном реестре юридических лиц либо в Едином государственном реестре индивидуальных предпринимателей, предложение о заключении договора на оказание услуг по обращению с твердыми коммунальными отходами и проект такого договора.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7. В случае если до даты начала обращения с отходами, указанной в соглашении, заключенном органом исполнительной власти субъекта Российской Федерации и региональным оператором (далее - соглашение) в соответствии с </w:t>
      </w:r>
      <w:hyperlink r:id="rId7" w:history="1">
        <w:r w:rsidRPr="00D87383">
          <w:rPr>
            <w:rFonts w:ascii="Times New Roman" w:eastAsia="Times New Roman" w:hAnsi="Times New Roman" w:cs="Times New Roman"/>
            <w:color w:val="0000FF"/>
            <w:sz w:val="24"/>
            <w:szCs w:val="24"/>
            <w:u w:val="single"/>
            <w:lang w:eastAsia="ru-RU"/>
          </w:rPr>
          <w:t>Федеральным законом "Об отходах производства и потребления"</w:t>
        </w:r>
      </w:hyperlink>
      <w:r w:rsidRPr="00D87383">
        <w:rPr>
          <w:rFonts w:ascii="Times New Roman" w:eastAsia="Times New Roman" w:hAnsi="Times New Roman" w:cs="Times New Roman"/>
          <w:sz w:val="24"/>
          <w:szCs w:val="24"/>
          <w:lang w:eastAsia="ru-RU"/>
        </w:rPr>
        <w:t>, региональный оператор не заключил договоры на оказание услуг по обращению с твердыми коммунальными отходами с потребителями, коммунальная услуга по обращению с твердыми коммунальными отходами оказывается региональным оператором в соответствии с условиями соглашения.</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8.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II. Порядок осуществления сбора и транспортирования твердых коммунальных отходов</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9.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В случае если в схеме обращения с отходами отсутствует информация о местах сбора и накопления твердых коммунальных отходов, региональный оператор направляет информацию о выявленных местах сбора и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сбора и накопления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10.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в контейнеры, расположенные в мусороприемных камерах (при наличии соответствующей внутридомовой инженерной системы);</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lastRenderedPageBreak/>
        <w:t>б) в контейнеры, бункеры, расположенные на контейнерных площадках;</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в пакеты или другие емкости, предоставленные региональным оператором.</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в бункеры, расположенные на контейнерных площадках;</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на специальных площадках для складирования крупногабаритных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13.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 xml:space="preserve">К транспортированию в рамках данных Правил запрещаются опасные вещества, отнесенные к опасным грузам в соответствии с Европейским соглашением о </w:t>
      </w:r>
      <w:r w:rsidRPr="00D87383">
        <w:rPr>
          <w:rFonts w:ascii="Times New Roman" w:eastAsia="Times New Roman" w:hAnsi="Times New Roman" w:cs="Times New Roman"/>
          <w:sz w:val="24"/>
          <w:szCs w:val="24"/>
          <w:lang w:eastAsia="ru-RU"/>
        </w:rPr>
        <w:lastRenderedPageBreak/>
        <w:t>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15. 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 xml:space="preserve">Осуществление такого разделения твердых коммунальных отходов не влечет необходимости получения потребителем лицензии на деятельность по сбору, </w:t>
      </w:r>
      <w:r w:rsidRPr="00D87383">
        <w:rPr>
          <w:rFonts w:ascii="Times New Roman" w:eastAsia="Times New Roman" w:hAnsi="Times New Roman" w:cs="Times New Roman"/>
          <w:sz w:val="24"/>
          <w:szCs w:val="24"/>
          <w:lang w:eastAsia="ru-RU"/>
        </w:rPr>
        <w:lastRenderedPageBreak/>
        <w:t>транспортированию, обработке, утилизации, обезвреживанию, размещению отходов I-IV классов опасности.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20. Сбор отходов электронного оборудования осуществляется в соответствии с порядком сбора твердых коммунальных отходов (в том числе их раздельного сбора), утвержденным органом государственной власти субъекта Российской Федерации.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21.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22.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23. 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 коммунальных отходов для регионального оператора формируются по результатам торгов.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24. 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25. Существенными условиями договора на оказание услуг по сбору и транспортированию твердых коммунальных отходов являются:</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предмет договора;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планируемый объем и (или) масса транспортируемых твердых коммунальных отходов, состав таких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периодичность и время вывоза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 места приема и передачи твердых коммунальных отходов, маршрут в соответствии со схемой обращения с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д) предельно допустимое значение уплотнения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е) способ коммерческого учета количества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ж) сроки и порядок оплаты услуг по договору;</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lastRenderedPageBreak/>
        <w:t>з) права и обязанности сторон по договору;</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сбору и транспортированию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к) ответственность сторон.</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года.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28. 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 транспортированию твердых коммунальных отходов.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III. Порядок осуществления обработки, утилизации, обезвреживания и захоронения твердых коммунальных отходов</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33. При осуществлении обработки твердых коммунальных отходов необходимо обеспечить извлечение отходов I и II классов опасности с целью исключения их </w:t>
      </w:r>
      <w:r w:rsidRPr="00D87383">
        <w:rPr>
          <w:rFonts w:ascii="Times New Roman" w:eastAsia="Times New Roman" w:hAnsi="Times New Roman" w:cs="Times New Roman"/>
          <w:sz w:val="24"/>
          <w:szCs w:val="24"/>
          <w:lang w:eastAsia="ru-RU"/>
        </w:rPr>
        <w:lastRenderedPageBreak/>
        <w:t>попадания на объекты захоронения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36. Существенными условиями договора на оказание услуг по обработке, обезвреживанию, захоронению твердых коммунальных отходов являются:</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предмет договора;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планируемая масса твердых коммунальных отходов, направляемых на объект, используемый для обработки, обезвреживания, захоронения;</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 место приема (передачи)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д) способ коммерческого учета количества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е) сроки и порядок оплаты услуг по договору;</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ж) права и обязанности сторон по договору;</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и) ответственность сторон.</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38. Региональный оператор оплачивает услуги операторов по обращению с твердыми коммунальными отходами, осуществляющих деятельность по обработке, обезвреживанию, захоронению твердых коммунальных отходов, если иное не предусмотрено договором на оказание услуг по обработке, обезвреживанию, захоронению </w:t>
      </w:r>
      <w:r w:rsidRPr="00D87383">
        <w:rPr>
          <w:rFonts w:ascii="Times New Roman" w:eastAsia="Times New Roman" w:hAnsi="Times New Roman" w:cs="Times New Roman"/>
          <w:sz w:val="24"/>
          <w:szCs w:val="24"/>
          <w:lang w:eastAsia="ru-RU"/>
        </w:rPr>
        <w:lastRenderedPageBreak/>
        <w:t>твердых коммунальных отходов в следующем порядке:</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35 процентов стоимости услуг по обработке, обезвреживанию, захоронению твердых коммунальных отходов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оплата за фактически оказанные в истекшем месяце услуги по обработке, обезвреживанию, захоронению твердых коммунальных отходов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обработке, обезвреживанию, захоронению твердых коммунальных отходов за истекший месяц меньше объема, определенного договором на оказание услуг по обработке, обезвреживанию, захоронению твердых коммунальных отходов, излишне уплаченная сумма засчитывается в счет предстоящего платежа за следующий месяц.</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IV. Основания, по которым юридическое лицо может быть лишено статуса регионального оператора</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40. Юридическое лицо может быть лишено статуса регионального оператора по следующим основаниям:</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года N 641";</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lastRenderedPageBreak/>
        <w:t>г) нарушение схемы потоков твердых коммунальных отходов от источников их образования до объектов, используемых для обработки, утилизации, обезвреживания, размещения отходов, закрепленной схемой обращения с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41. Юридическое лицо, лишенное статуса регионального оператора, обязано:</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1"/>
        <w:rPr>
          <w:rFonts w:ascii="Times New Roman" w:eastAsia="Times New Roman" w:hAnsi="Times New Roman" w:cs="Times New Roman"/>
          <w:b/>
          <w:bCs/>
          <w:sz w:val="36"/>
          <w:szCs w:val="36"/>
          <w:lang w:eastAsia="ru-RU"/>
        </w:rPr>
      </w:pPr>
      <w:r w:rsidRPr="00D87383">
        <w:rPr>
          <w:rFonts w:ascii="Times New Roman" w:eastAsia="Times New Roman" w:hAnsi="Times New Roman" w:cs="Times New Roman"/>
          <w:b/>
          <w:bCs/>
          <w:sz w:val="36"/>
          <w:szCs w:val="36"/>
          <w:lang w:eastAsia="ru-RU"/>
        </w:rPr>
        <w:t>Форма типового договора на оказание услуг по обращению с твердыми коммунальными отходами</w:t>
      </w:r>
    </w:p>
    <w:p w:rsidR="00D87383" w:rsidRPr="00D87383" w:rsidRDefault="00D87383" w:rsidP="00D87383">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УТВЕРЖДЕНА</w:t>
      </w:r>
      <w:r w:rsidRPr="00D87383">
        <w:rPr>
          <w:rFonts w:ascii="Times New Roman" w:eastAsia="Times New Roman" w:hAnsi="Times New Roman" w:cs="Times New Roman"/>
          <w:sz w:val="24"/>
          <w:szCs w:val="24"/>
          <w:lang w:eastAsia="ru-RU"/>
        </w:rPr>
        <w:br/>
        <w:t>постановлением Правительства</w:t>
      </w:r>
      <w:r w:rsidRPr="00D87383">
        <w:rPr>
          <w:rFonts w:ascii="Times New Roman" w:eastAsia="Times New Roman" w:hAnsi="Times New Roman" w:cs="Times New Roman"/>
          <w:sz w:val="24"/>
          <w:szCs w:val="24"/>
          <w:lang w:eastAsia="ru-RU"/>
        </w:rPr>
        <w:br/>
        <w:t>Российской Федерации</w:t>
      </w:r>
      <w:r w:rsidRPr="00D87383">
        <w:rPr>
          <w:rFonts w:ascii="Times New Roman" w:eastAsia="Times New Roman" w:hAnsi="Times New Roman" w:cs="Times New Roman"/>
          <w:sz w:val="24"/>
          <w:szCs w:val="24"/>
          <w:lang w:eastAsia="ru-RU"/>
        </w:rPr>
        <w:br/>
        <w:t xml:space="preserve">от 12 ноября 2016 года N 1156 </w:t>
      </w:r>
    </w:p>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w:t>
      </w:r>
      <w:r w:rsidRPr="00D87383">
        <w:rPr>
          <w:rFonts w:ascii="Times New Roman" w:eastAsia="Times New Roman" w:hAnsi="Times New Roman" w:cs="Times New Roman"/>
          <w:sz w:val="24"/>
          <w:szCs w:val="24"/>
          <w:lang w:eastAsia="ru-RU"/>
        </w:rPr>
        <w:br/>
        <w:t>     </w:t>
      </w:r>
      <w:r w:rsidRPr="00D87383">
        <w:rPr>
          <w:rFonts w:ascii="Times New Roman" w:eastAsia="Times New Roman" w:hAnsi="Times New Roman" w:cs="Times New Roman"/>
          <w:sz w:val="24"/>
          <w:szCs w:val="24"/>
          <w:lang w:eastAsia="ru-RU"/>
        </w:rPr>
        <w:br/>
        <w:t>ТИПОВОЙ ДОГОВОР</w:t>
      </w:r>
      <w:r w:rsidRPr="00D87383">
        <w:rPr>
          <w:rFonts w:ascii="Times New Roman" w:eastAsia="Times New Roman" w:hAnsi="Times New Roman" w:cs="Times New Roman"/>
          <w:sz w:val="24"/>
          <w:szCs w:val="24"/>
          <w:lang w:eastAsia="ru-RU"/>
        </w:rPr>
        <w:br/>
        <w:t xml:space="preserve">на оказание услуг по обращению с твердыми коммунальными отходами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9"/>
        <w:gridCol w:w="426"/>
        <w:gridCol w:w="630"/>
        <w:gridCol w:w="426"/>
        <w:gridCol w:w="881"/>
        <w:gridCol w:w="705"/>
        <w:gridCol w:w="504"/>
        <w:gridCol w:w="679"/>
        <w:gridCol w:w="1525"/>
      </w:tblGrid>
      <w:tr w:rsidR="00D87383" w:rsidRPr="00D87383" w:rsidTr="00D87383">
        <w:trPr>
          <w:trHeight w:val="15"/>
          <w:tblCellSpacing w:w="15" w:type="dxa"/>
        </w:trPr>
        <w:tc>
          <w:tcPr>
            <w:tcW w:w="462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110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55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2033"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4620"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c>
          <w:tcPr>
            <w:tcW w:w="739"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c>
          <w:tcPr>
            <w:tcW w:w="1109"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20 </w:t>
            </w:r>
          </w:p>
        </w:tc>
        <w:tc>
          <w:tcPr>
            <w:tcW w:w="554"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w:t>
            </w:r>
          </w:p>
        </w:tc>
        <w:tc>
          <w:tcPr>
            <w:tcW w:w="2033"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4620" w:type="dxa"/>
            <w:tcBorders>
              <w:top w:val="single" w:sz="2" w:space="0" w:color="000000"/>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(место заключения договора)</w:t>
            </w:r>
          </w:p>
        </w:tc>
        <w:tc>
          <w:tcPr>
            <w:tcW w:w="4620" w:type="dxa"/>
            <w:gridSpan w:val="7"/>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bl>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3"/>
        <w:gridCol w:w="873"/>
        <w:gridCol w:w="1654"/>
        <w:gridCol w:w="1064"/>
        <w:gridCol w:w="3069"/>
        <w:gridCol w:w="412"/>
      </w:tblGrid>
      <w:tr w:rsidR="00D87383" w:rsidRPr="00D87383" w:rsidTr="00D87383">
        <w:trPr>
          <w:trHeight w:val="15"/>
          <w:tblCellSpacing w:w="15" w:type="dxa"/>
        </w:trPr>
        <w:tc>
          <w:tcPr>
            <w:tcW w:w="2587"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110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2033"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129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881"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11273" w:type="dxa"/>
            <w:gridSpan w:val="6"/>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6"/>
            <w:tcBorders>
              <w:top w:val="single" w:sz="2" w:space="0" w:color="000000"/>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(наименование организации)</w:t>
            </w: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7022" w:type="dxa"/>
            <w:gridSpan w:val="4"/>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именуемое в дальнейшем региональным оператором, в лице </w:t>
            </w:r>
          </w:p>
        </w:tc>
        <w:tc>
          <w:tcPr>
            <w:tcW w:w="3881"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6"/>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6"/>
            <w:tcBorders>
              <w:top w:val="single" w:sz="2" w:space="0" w:color="000000"/>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(наименование должности, фамилия, имя, отчество физического лица)</w:t>
            </w: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3696" w:type="dxa"/>
            <w:gridSpan w:val="2"/>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действующего на основании </w:t>
            </w:r>
          </w:p>
        </w:tc>
        <w:tc>
          <w:tcPr>
            <w:tcW w:w="7207" w:type="dxa"/>
            <w:gridSpan w:val="3"/>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3696" w:type="dxa"/>
            <w:gridSpan w:val="2"/>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207" w:type="dxa"/>
            <w:gridSpan w:val="3"/>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(положение, устав, доверенность - указать нужное)</w:t>
            </w: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с одной стороны, и </w:t>
            </w:r>
          </w:p>
        </w:tc>
        <w:tc>
          <w:tcPr>
            <w:tcW w:w="8316" w:type="dxa"/>
            <w:gridSpan w:val="4"/>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8316" w:type="dxa"/>
            <w:gridSpan w:val="4"/>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(наименование организации, фамилия, имя, отчество физического лица)</w:t>
            </w: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5729" w:type="dxa"/>
            <w:gridSpan w:val="3"/>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именуемое в дальнейшем потребителем, в лице </w:t>
            </w:r>
          </w:p>
        </w:tc>
        <w:tc>
          <w:tcPr>
            <w:tcW w:w="5544" w:type="dxa"/>
            <w:gridSpan w:val="3"/>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5729" w:type="dxa"/>
            <w:gridSpan w:val="3"/>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544" w:type="dxa"/>
            <w:gridSpan w:val="3"/>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(фамилия, имя, отчество,</w:t>
            </w: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0903" w:type="dxa"/>
            <w:gridSpan w:val="5"/>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10903" w:type="dxa"/>
            <w:gridSpan w:val="5"/>
            <w:tcBorders>
              <w:top w:val="single" w:sz="2" w:space="0" w:color="000000"/>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паспортные данные - в случае заключения договора физическим лицом, наименование должности, фамилия, имя, отчество - в случае заключения договора юридическим лицом)</w:t>
            </w: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3696" w:type="dxa"/>
            <w:gridSpan w:val="2"/>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lastRenderedPageBreak/>
              <w:t xml:space="preserve">действующего на основании </w:t>
            </w:r>
          </w:p>
        </w:tc>
        <w:tc>
          <w:tcPr>
            <w:tcW w:w="7207" w:type="dxa"/>
            <w:gridSpan w:val="3"/>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3696" w:type="dxa"/>
            <w:gridSpan w:val="2"/>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207" w:type="dxa"/>
            <w:gridSpan w:val="3"/>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(положение, устав, доверенность - указать нужное)</w:t>
            </w: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с другой стороны, именуемые в дальнейшем сторонами, заключили настоящий договор о нижеследующем:</w:t>
            </w:r>
          </w:p>
        </w:tc>
      </w:tr>
    </w:tbl>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 Предмет договора</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сбор,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 Объем твердых коммунальных отходов, места сбора 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в графическом виде о размещении мест сбора и накопления твердых коммунальных отходов и подъездных путей к ним (за исключением жилых домов) определяются согласно приложению к настоящему договору.</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
        <w:gridCol w:w="638"/>
        <w:gridCol w:w="376"/>
        <w:gridCol w:w="922"/>
        <w:gridCol w:w="550"/>
        <w:gridCol w:w="494"/>
        <w:gridCol w:w="672"/>
        <w:gridCol w:w="749"/>
        <w:gridCol w:w="4275"/>
        <w:gridCol w:w="377"/>
      </w:tblGrid>
      <w:tr w:rsidR="00D87383" w:rsidRPr="00D87383" w:rsidTr="00D87383">
        <w:trPr>
          <w:trHeight w:val="15"/>
          <w:tblCellSpacing w:w="15" w:type="dxa"/>
        </w:trPr>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110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55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55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92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554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11273" w:type="dxa"/>
            <w:gridSpan w:val="10"/>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 Способ складирования твердых коммунальных отходов -</w:t>
            </w:r>
          </w:p>
        </w:tc>
      </w:tr>
      <w:tr w:rsidR="00D87383" w:rsidRPr="00D87383" w:rsidTr="00D87383">
        <w:trPr>
          <w:tblCellSpacing w:w="15" w:type="dxa"/>
        </w:trPr>
        <w:tc>
          <w:tcPr>
            <w:tcW w:w="10903" w:type="dxa"/>
            <w:gridSpan w:val="9"/>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10903" w:type="dxa"/>
            <w:gridSpan w:val="9"/>
            <w:tcBorders>
              <w:top w:val="single" w:sz="2" w:space="0" w:color="000000"/>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(мусоропроводы и мусороприемные камеры, в контейнеры, бункеры, расположенные на контейнерных площадках, в пакеты или другие емкости (указать какие), предоставленные региональным оператором, - указать нужное)</w:t>
            </w:r>
          </w:p>
        </w:tc>
        <w:tc>
          <w:tcPr>
            <w:tcW w:w="370"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10"/>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5359" w:type="dxa"/>
            <w:gridSpan w:val="8"/>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том числе крупногабаритных отходов -</w:t>
            </w:r>
          </w:p>
        </w:tc>
        <w:tc>
          <w:tcPr>
            <w:tcW w:w="5914" w:type="dxa"/>
            <w:gridSpan w:val="2"/>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10"/>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0903" w:type="dxa"/>
            <w:gridSpan w:val="9"/>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10903" w:type="dxa"/>
            <w:gridSpan w:val="9"/>
            <w:tcBorders>
              <w:top w:val="single" w:sz="2" w:space="0" w:color="000000"/>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бункеры, расположенные на контейнерных площадках, на специальных площадках складирования крупногабаритных отходов - указать нужное)</w:t>
            </w:r>
          </w:p>
        </w:tc>
        <w:tc>
          <w:tcPr>
            <w:tcW w:w="370"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10"/>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273" w:type="dxa"/>
            <w:gridSpan w:val="10"/>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4. Дата начала оказания услуг по обращению с твердыми коммунальными отходами </w:t>
            </w:r>
          </w:p>
        </w:tc>
      </w:tr>
      <w:tr w:rsidR="00D87383" w:rsidRPr="00D87383" w:rsidTr="00D87383">
        <w:trPr>
          <w:tblCellSpacing w:w="15" w:type="dxa"/>
        </w:trPr>
        <w:tc>
          <w:tcPr>
            <w:tcW w:w="370"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c>
          <w:tcPr>
            <w:tcW w:w="739" w:type="dxa"/>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c>
          <w:tcPr>
            <w:tcW w:w="1109" w:type="dxa"/>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20 </w:t>
            </w:r>
          </w:p>
        </w:tc>
        <w:tc>
          <w:tcPr>
            <w:tcW w:w="554" w:type="dxa"/>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w:t>
            </w:r>
          </w:p>
        </w:tc>
        <w:tc>
          <w:tcPr>
            <w:tcW w:w="6838" w:type="dxa"/>
            <w:gridSpan w:val="3"/>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bl>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II. Сроки и порядок оплаты по договору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06"/>
        <w:gridCol w:w="539"/>
      </w:tblGrid>
      <w:tr w:rsidR="00D87383" w:rsidRPr="00D87383" w:rsidTr="00D87383">
        <w:trPr>
          <w:trHeight w:val="15"/>
          <w:tblCellSpacing w:w="15" w:type="dxa"/>
        </w:trPr>
        <w:tc>
          <w:tcPr>
            <w:tcW w:w="10718"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55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11273" w:type="dxa"/>
            <w:gridSpan w:val="2"/>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5. Под расчетным периодом по настоящему договору понимается один календарный месяц.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w:t>
            </w:r>
          </w:p>
        </w:tc>
      </w:tr>
      <w:tr w:rsidR="00D87383" w:rsidRPr="00D87383" w:rsidTr="00D87383">
        <w:trPr>
          <w:tblCellSpacing w:w="15" w:type="dxa"/>
        </w:trPr>
        <w:tc>
          <w:tcPr>
            <w:tcW w:w="10718" w:type="dxa"/>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11273" w:type="dxa"/>
            <w:gridSpan w:val="2"/>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(размер оплаты указывается региональным оператором)</w:t>
            </w:r>
          </w:p>
        </w:tc>
      </w:tr>
    </w:tbl>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6. Потребитель (за исключением потребителей в многоквартирных домах и жилых домах) оплачивает услуги по обращению с твердыми коммунальными отходами в следующем порядке:</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lastRenderedPageBreak/>
        <w:b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обращению с твердыми коммунальными отходами за истекший месяц меньше объема, определенного настоящим договором, излишне уплаченная сумма засчитывается в счет предстоящего платежа за следующий месяц.</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D87383">
        <w:rPr>
          <w:rFonts w:ascii="Times New Roman" w:eastAsia="Times New Roman" w:hAnsi="Times New Roman" w:cs="Times New Roman"/>
          <w:sz w:val="24"/>
          <w:szCs w:val="24"/>
          <w:lang w:eastAsia="ru-RU"/>
        </w:rPr>
        <w:t>факсограмма</w:t>
      </w:r>
      <w:proofErr w:type="spellEnd"/>
      <w:r w:rsidRPr="00D87383">
        <w:rPr>
          <w:rFonts w:ascii="Times New Roman" w:eastAsia="Times New Roman" w:hAnsi="Times New Roman" w:cs="Times New Roman"/>
          <w:sz w:val="24"/>
          <w:szCs w:val="24"/>
          <w:lang w:eastAsia="ru-RU"/>
        </w:rP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III.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8.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сбора и накопления твердых коммунальных отходов.</w:t>
      </w:r>
      <w:r w:rsidRPr="00D8738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4"/>
        <w:gridCol w:w="521"/>
      </w:tblGrid>
      <w:tr w:rsidR="00D87383" w:rsidRPr="00D87383" w:rsidTr="00D87383">
        <w:trPr>
          <w:trHeight w:val="15"/>
          <w:tblCellSpacing w:w="15" w:type="dxa"/>
        </w:trPr>
        <w:tc>
          <w:tcPr>
            <w:tcW w:w="10903"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55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11458" w:type="dxa"/>
            <w:gridSpan w:val="2"/>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9.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многоквартирных домах, несет </w:t>
            </w:r>
          </w:p>
        </w:tc>
      </w:tr>
      <w:tr w:rsidR="00D87383" w:rsidRPr="00D87383" w:rsidTr="00D87383">
        <w:trPr>
          <w:tblCellSpacing w:w="15" w:type="dxa"/>
        </w:trPr>
        <w:tc>
          <w:tcPr>
            <w:tcW w:w="10903" w:type="dxa"/>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10903" w:type="dxa"/>
            <w:tcBorders>
              <w:top w:val="single" w:sz="2" w:space="0" w:color="000000"/>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 иное лицо, указанное в соглашении, - указать нужное)</w:t>
            </w:r>
          </w:p>
        </w:tc>
        <w:tc>
          <w:tcPr>
            <w:tcW w:w="554"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458" w:type="dxa"/>
            <w:gridSpan w:val="2"/>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11458" w:type="dxa"/>
            <w:gridSpan w:val="2"/>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10.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несет </w:t>
            </w:r>
          </w:p>
        </w:tc>
      </w:tr>
      <w:tr w:rsidR="00D87383" w:rsidRPr="00D87383" w:rsidTr="00D87383">
        <w:trPr>
          <w:tblCellSpacing w:w="15" w:type="dxa"/>
        </w:trPr>
        <w:tc>
          <w:tcPr>
            <w:tcW w:w="10903" w:type="dxa"/>
            <w:tcBorders>
              <w:top w:val="nil"/>
              <w:left w:val="nil"/>
              <w:bottom w:val="single" w:sz="2" w:space="0" w:color="000000"/>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10903" w:type="dxa"/>
            <w:tcBorders>
              <w:top w:val="single" w:sz="2" w:space="0" w:color="000000"/>
              <w:left w:val="nil"/>
              <w:bottom w:val="nil"/>
              <w:right w:val="nil"/>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(собственник земельного участка, на котором расположены такие площадка и территория, иное лицо, указанное в соглашении, - указать нужное)</w:t>
            </w:r>
          </w:p>
        </w:tc>
        <w:tc>
          <w:tcPr>
            <w:tcW w:w="554" w:type="dxa"/>
            <w:tcBorders>
              <w:top w:val="nil"/>
              <w:left w:val="nil"/>
              <w:bottom w:val="nil"/>
              <w:right w:val="nil"/>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bl>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IV. Права и обязанности сторон</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11. Региональный оператор обязан:</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принимать твердые коммунальные отходы в объеме и в месте, которые определены в приложении к настоящему договору;</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обеспечивать сбор,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12. Региональный оператор имеет право:</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осуществлять контроль за учетом объема и (или) массы принятых твердых коммунальных отходов;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инициировать проведение сверки расчетов по настоящему договору.</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13. Потребитель обязан:</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а) осуществлять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 </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б) обеспечивать учет объема и (или) массы твердых коммунальных отходов в соответствии с </w:t>
      </w:r>
      <w:hyperlink r:id="rId8" w:history="1">
        <w:r w:rsidRPr="00D87383">
          <w:rPr>
            <w:rFonts w:ascii="Times New Roman" w:eastAsia="Times New Roman" w:hAnsi="Times New Roman" w:cs="Times New Roman"/>
            <w:color w:val="0000FF"/>
            <w:sz w:val="24"/>
            <w:szCs w:val="24"/>
            <w:u w:val="single"/>
            <w:lang w:eastAsia="ru-RU"/>
          </w:rPr>
          <w:t>Правилами коммерческого учета объема и (или) массы твердых коммунальных отходов</w:t>
        </w:r>
      </w:hyperlink>
      <w:r w:rsidRPr="00D87383">
        <w:rPr>
          <w:rFonts w:ascii="Times New Roman" w:eastAsia="Times New Roman" w:hAnsi="Times New Roman" w:cs="Times New Roman"/>
          <w:sz w:val="24"/>
          <w:szCs w:val="24"/>
          <w:lang w:eastAsia="ru-RU"/>
        </w:rPr>
        <w:t xml:space="preserve">, утвержденными </w:t>
      </w:r>
      <w:hyperlink r:id="rId9" w:history="1">
        <w:r w:rsidRPr="00D8738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июня 2016 года N 505 "Об утверждении Правил коммерческого учета объема и (или) массы твердых коммунальных отходов"</w:t>
        </w:r>
      </w:hyperlink>
      <w:r w:rsidRPr="00D87383">
        <w:rPr>
          <w:rFonts w:ascii="Times New Roman" w:eastAsia="Times New Roman" w:hAnsi="Times New Roman" w:cs="Times New Roman"/>
          <w:sz w:val="24"/>
          <w:szCs w:val="24"/>
          <w:lang w:eastAsia="ru-RU"/>
        </w:rPr>
        <w:t>;</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производить оплату по настоящему договору в порядке, размере и сроки, которые определены настоящим договором;</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 обеспечивать складирование твердых коммунальных отходов в контейнеры или иные места в соответствии с приложением к настоящему договору;</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lastRenderedPageBreak/>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е) назначить лицо, ответственное за взаимодействие с региональным оператором по вопросам исполнения настоящего договора;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ж) уведомить регионального оператора любым доступным способом (почтовое отправление, телеграмма, </w:t>
      </w:r>
      <w:proofErr w:type="spellStart"/>
      <w:r w:rsidRPr="00D87383">
        <w:rPr>
          <w:rFonts w:ascii="Times New Roman" w:eastAsia="Times New Roman" w:hAnsi="Times New Roman" w:cs="Times New Roman"/>
          <w:sz w:val="24"/>
          <w:szCs w:val="24"/>
          <w:lang w:eastAsia="ru-RU"/>
        </w:rPr>
        <w:t>факсограмма</w:t>
      </w:r>
      <w:proofErr w:type="spellEnd"/>
      <w:r w:rsidRPr="00D87383">
        <w:rPr>
          <w:rFonts w:ascii="Times New Roman" w:eastAsia="Times New Roman" w:hAnsi="Times New Roman" w:cs="Times New Roman"/>
          <w:sz w:val="24"/>
          <w:szCs w:val="24"/>
          <w:lang w:eastAsia="ru-RU"/>
        </w:rPr>
        <w:t xml:space="preserve">,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 </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14. Потребитель имеет право:</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получать от регионального оператора информацию об изменении установленных тарифов в области обращения с твердыми коммунальными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инициировать проведение сверки расчетов по настоящему договору.</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V. Порядок осуществления учета объема и (или) массы твердых коммунальных 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0"/>
        <w:gridCol w:w="555"/>
      </w:tblGrid>
      <w:tr w:rsidR="00D87383" w:rsidRPr="00D87383" w:rsidTr="00D87383">
        <w:trPr>
          <w:trHeight w:val="15"/>
          <w:tblCellSpacing w:w="15" w:type="dxa"/>
        </w:trPr>
        <w:tc>
          <w:tcPr>
            <w:tcW w:w="10903"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55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11458" w:type="dxa"/>
            <w:gridSpan w:val="2"/>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15. Стороны согласились производить учет объема и (или) массы твердых коммунальных отходов в соответствии с </w:t>
            </w:r>
            <w:hyperlink r:id="rId10" w:history="1">
              <w:r w:rsidRPr="00D87383">
                <w:rPr>
                  <w:rFonts w:ascii="Times New Roman" w:eastAsia="Times New Roman" w:hAnsi="Times New Roman" w:cs="Times New Roman"/>
                  <w:color w:val="0000FF"/>
                  <w:sz w:val="24"/>
                  <w:szCs w:val="24"/>
                  <w:u w:val="single"/>
                  <w:lang w:eastAsia="ru-RU"/>
                </w:rPr>
                <w:t>Правилами коммерческого учета объема и (или) массы твердых коммунальных отходов</w:t>
              </w:r>
            </w:hyperlink>
            <w:r w:rsidRPr="00D87383">
              <w:rPr>
                <w:rFonts w:ascii="Times New Roman" w:eastAsia="Times New Roman" w:hAnsi="Times New Roman" w:cs="Times New Roman"/>
                <w:sz w:val="24"/>
                <w:szCs w:val="24"/>
                <w:lang w:eastAsia="ru-RU"/>
              </w:rPr>
              <w:t xml:space="preserve">, утвержденными </w:t>
            </w:r>
            <w:hyperlink r:id="rId11" w:history="1">
              <w:r w:rsidRPr="00D8738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июня 2016 года N 505 "Об утверждении Правил коммерческого учета объема и (или) массы твердых коммунальных отходов"</w:t>
              </w:r>
            </w:hyperlink>
            <w:r w:rsidRPr="00D87383">
              <w:rPr>
                <w:rFonts w:ascii="Times New Roman" w:eastAsia="Times New Roman" w:hAnsi="Times New Roman" w:cs="Times New Roman"/>
                <w:sz w:val="24"/>
                <w:szCs w:val="24"/>
                <w:lang w:eastAsia="ru-RU"/>
              </w:rPr>
              <w:t>, следующим способом:</w:t>
            </w:r>
          </w:p>
        </w:tc>
      </w:tr>
      <w:tr w:rsidR="00D87383" w:rsidRPr="00D87383" w:rsidTr="00D87383">
        <w:trPr>
          <w:tblCellSpacing w:w="15" w:type="dxa"/>
        </w:trPr>
        <w:tc>
          <w:tcPr>
            <w:tcW w:w="10903"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10903" w:type="dxa"/>
            <w:tcBorders>
              <w:top w:val="single" w:sz="2" w:space="0" w:color="000000"/>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(расчетным путем исходя из нормативов накопления твердых коммунальных отходов, количества и объема контейнеров для складирования твердых коммунальных отходов или исходя из массы твердых коммунальных отходов - нужное указать)</w:t>
            </w:r>
          </w:p>
        </w:tc>
        <w:tc>
          <w:tcPr>
            <w:tcW w:w="554"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bl>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VI. Порядок фиксации нарушений по договору</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w:t>
      </w:r>
      <w:proofErr w:type="spellStart"/>
      <w:r w:rsidRPr="00D87383">
        <w:rPr>
          <w:rFonts w:ascii="Times New Roman" w:eastAsia="Times New Roman" w:hAnsi="Times New Roman" w:cs="Times New Roman"/>
          <w:sz w:val="24"/>
          <w:szCs w:val="24"/>
          <w:lang w:eastAsia="ru-RU"/>
        </w:rPr>
        <w:t>видеофиксации</w:t>
      </w:r>
      <w:proofErr w:type="spellEnd"/>
      <w:r w:rsidRPr="00D87383">
        <w:rPr>
          <w:rFonts w:ascii="Times New Roman" w:eastAsia="Times New Roman" w:hAnsi="Times New Roman" w:cs="Times New Roman"/>
          <w:sz w:val="24"/>
          <w:szCs w:val="24"/>
          <w:lang w:eastAsia="ru-RU"/>
        </w:rPr>
        <w:t xml:space="preserve">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 xml:space="preserve">В случае невозможности устранения нарушений в сроки, предложенные потребителем, </w:t>
      </w:r>
      <w:r w:rsidRPr="00D87383">
        <w:rPr>
          <w:rFonts w:ascii="Times New Roman" w:eastAsia="Times New Roman" w:hAnsi="Times New Roman" w:cs="Times New Roman"/>
          <w:sz w:val="24"/>
          <w:szCs w:val="24"/>
          <w:lang w:eastAsia="ru-RU"/>
        </w:rPr>
        <w:lastRenderedPageBreak/>
        <w:t>региональный оператор предлагает иные сроки для устранения выявленных нарушений.</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19. Акт должен содержать:</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а) сведения о заявителе (наименование, местонахождение, адрес);</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в) сведения о нарушении соответствующих пунктов договора;</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 другие сведения по усмотрению стороны, в том числе материалы фото- и видеосъемки.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VII. Ответственность сторон</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23.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VIII. Обстоятельства непреодолимой силы</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 xml:space="preserve">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w:t>
      </w:r>
      <w:r w:rsidRPr="00D87383">
        <w:rPr>
          <w:rFonts w:ascii="Times New Roman" w:eastAsia="Times New Roman" w:hAnsi="Times New Roman" w:cs="Times New Roman"/>
          <w:sz w:val="24"/>
          <w:szCs w:val="24"/>
          <w:lang w:eastAsia="ru-RU"/>
        </w:rPr>
        <w:lastRenderedPageBreak/>
        <w:t>последствиям, вызванным этими обстоятельствами.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Сторона должна также без промедления, не позднее 24 часов с момента прекращения обстоятельств непреодолимой силы, известить об этом другую сторону.</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IX. Действие договора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0"/>
        <w:gridCol w:w="4033"/>
        <w:gridCol w:w="412"/>
      </w:tblGrid>
      <w:tr w:rsidR="00D87383" w:rsidRPr="00D87383" w:rsidTr="00D87383">
        <w:trPr>
          <w:trHeight w:val="15"/>
          <w:tblCellSpacing w:w="15" w:type="dxa"/>
        </w:trPr>
        <w:tc>
          <w:tcPr>
            <w:tcW w:w="6098"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4805"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6098"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26. Настоящий договор заключается на срок </w:t>
            </w:r>
          </w:p>
        </w:tc>
        <w:tc>
          <w:tcPr>
            <w:tcW w:w="4805"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r>
      <w:tr w:rsidR="00D87383" w:rsidRPr="00D87383" w:rsidTr="00D87383">
        <w:trPr>
          <w:tblCellSpacing w:w="15" w:type="dxa"/>
        </w:trPr>
        <w:tc>
          <w:tcPr>
            <w:tcW w:w="6098"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4805" w:type="dxa"/>
            <w:tcBorders>
              <w:top w:val="single" w:sz="2" w:space="0" w:color="000000"/>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(указывается срок)</w:t>
            </w: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bl>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28. Настоящий договор может быть расторгнут до окончания срока его действия по соглашению сторон.</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X. Прочие условия</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31. При исполнении настоящего договора стороны обязуются руководствоваться законодательством Российской Федерации, в том числе положениями </w:t>
      </w:r>
      <w:hyperlink r:id="rId12" w:history="1">
        <w:r w:rsidRPr="00D87383">
          <w:rPr>
            <w:rFonts w:ascii="Times New Roman" w:eastAsia="Times New Roman" w:hAnsi="Times New Roman" w:cs="Times New Roman"/>
            <w:color w:val="0000FF"/>
            <w:sz w:val="24"/>
            <w:szCs w:val="24"/>
            <w:u w:val="single"/>
            <w:lang w:eastAsia="ru-RU"/>
          </w:rPr>
          <w:t>Федерального закона "Об отходах производства и потребления"</w:t>
        </w:r>
      </w:hyperlink>
      <w:r w:rsidRPr="00D87383">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 в сфере обращения с твердыми коммунальными отходами.</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32. Настоящий договор составлен в 2 экземплярах, имеющих равную юридическую силу.</w:t>
      </w:r>
      <w:r w:rsidRPr="00D87383">
        <w:rPr>
          <w:rFonts w:ascii="Times New Roman" w:eastAsia="Times New Roman" w:hAnsi="Times New Roman" w:cs="Times New Roman"/>
          <w:sz w:val="24"/>
          <w:szCs w:val="24"/>
          <w:lang w:eastAsia="ru-RU"/>
        </w:rPr>
        <w:br/>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33. Приложение к настоящему договору является его неотъемлемой частью.</w:t>
      </w:r>
      <w:r w:rsidRPr="00D8738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
        <w:gridCol w:w="679"/>
        <w:gridCol w:w="426"/>
        <w:gridCol w:w="885"/>
        <w:gridCol w:w="783"/>
        <w:gridCol w:w="576"/>
        <w:gridCol w:w="644"/>
        <w:gridCol w:w="576"/>
        <w:gridCol w:w="426"/>
        <w:gridCol w:w="782"/>
        <w:gridCol w:w="426"/>
        <w:gridCol w:w="885"/>
        <w:gridCol w:w="680"/>
        <w:gridCol w:w="576"/>
        <w:gridCol w:w="659"/>
      </w:tblGrid>
      <w:tr w:rsidR="00D87383" w:rsidRPr="00D87383" w:rsidTr="00D87383">
        <w:trPr>
          <w:trHeight w:val="15"/>
          <w:tblCellSpacing w:w="15" w:type="dxa"/>
        </w:trPr>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92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129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92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110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370"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129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739"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5359" w:type="dxa"/>
            <w:gridSpan w:val="7"/>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Региональный оператор </w:t>
            </w: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359" w:type="dxa"/>
            <w:gridSpan w:val="7"/>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Потребитель </w:t>
            </w:r>
          </w:p>
        </w:tc>
      </w:tr>
      <w:tr w:rsidR="00D87383" w:rsidRPr="00D87383" w:rsidTr="00D87383">
        <w:trPr>
          <w:tblCellSpacing w:w="15" w:type="dxa"/>
        </w:trPr>
        <w:tc>
          <w:tcPr>
            <w:tcW w:w="5359" w:type="dxa"/>
            <w:gridSpan w:val="7"/>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359" w:type="dxa"/>
            <w:gridSpan w:val="7"/>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5359" w:type="dxa"/>
            <w:gridSpan w:val="7"/>
            <w:tcBorders>
              <w:top w:val="single" w:sz="2" w:space="0" w:color="000000"/>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5359" w:type="dxa"/>
            <w:gridSpan w:val="7"/>
            <w:tcBorders>
              <w:top w:val="single" w:sz="2" w:space="0" w:color="000000"/>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c>
          <w:tcPr>
            <w:tcW w:w="924"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c>
          <w:tcPr>
            <w:tcW w:w="1294"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20 </w:t>
            </w:r>
          </w:p>
        </w:tc>
        <w:tc>
          <w:tcPr>
            <w:tcW w:w="739"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w:t>
            </w: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c>
          <w:tcPr>
            <w:tcW w:w="1109"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w:t>
            </w:r>
          </w:p>
        </w:tc>
        <w:tc>
          <w:tcPr>
            <w:tcW w:w="1294"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20 </w:t>
            </w:r>
          </w:p>
        </w:tc>
        <w:tc>
          <w:tcPr>
            <w:tcW w:w="739" w:type="dxa"/>
            <w:tcBorders>
              <w:top w:val="nil"/>
              <w:left w:val="nil"/>
              <w:bottom w:val="single" w:sz="2" w:space="0" w:color="000000"/>
              <w:right w:val="nil"/>
            </w:tcBorders>
            <w:tcMar>
              <w:top w:w="15" w:type="dxa"/>
              <w:left w:w="149" w:type="dxa"/>
              <w:bottom w:w="15" w:type="dxa"/>
              <w:right w:w="149"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г.</w:t>
            </w:r>
          </w:p>
        </w:tc>
      </w:tr>
    </w:tbl>
    <w:p w:rsidR="00D87383" w:rsidRPr="00D87383" w:rsidRDefault="00D87383" w:rsidP="00D87383">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D87383">
        <w:rPr>
          <w:rFonts w:ascii="Times New Roman" w:eastAsia="Times New Roman" w:hAnsi="Times New Roman" w:cs="Times New Roman"/>
          <w:b/>
          <w:bCs/>
          <w:sz w:val="27"/>
          <w:szCs w:val="27"/>
          <w:lang w:eastAsia="ru-RU"/>
        </w:rPr>
        <w:t>Приложение. Информация по предмету договора</w:t>
      </w:r>
    </w:p>
    <w:p w:rsidR="00D87383" w:rsidRPr="00D87383" w:rsidRDefault="00D87383" w:rsidP="00D87383">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Приложение</w:t>
      </w:r>
      <w:r w:rsidRPr="00D87383">
        <w:rPr>
          <w:rFonts w:ascii="Times New Roman" w:eastAsia="Times New Roman" w:hAnsi="Times New Roman" w:cs="Times New Roman"/>
          <w:sz w:val="24"/>
          <w:szCs w:val="24"/>
          <w:lang w:eastAsia="ru-RU"/>
        </w:rPr>
        <w:br/>
        <w:t>к типовому договору на оказание</w:t>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lastRenderedPageBreak/>
        <w:t>услуг по обращению с твердыми</w:t>
      </w:r>
      <w:r w:rsidRPr="00D87383">
        <w:rPr>
          <w:rFonts w:ascii="Times New Roman" w:eastAsia="Times New Roman" w:hAnsi="Times New Roman" w:cs="Times New Roman"/>
          <w:sz w:val="24"/>
          <w:szCs w:val="24"/>
          <w:lang w:eastAsia="ru-RU"/>
        </w:rPr>
        <w:br/>
        <w:t xml:space="preserve">коммунальными отходами </w:t>
      </w:r>
    </w:p>
    <w:p w:rsidR="00D87383" w:rsidRPr="00D87383" w:rsidRDefault="00D87383" w:rsidP="00D87383">
      <w:pPr>
        <w:spacing w:before="100" w:beforeAutospacing="1" w:after="100" w:afterAutospacing="1" w:line="240" w:lineRule="auto"/>
        <w:contextualSpacing/>
        <w:outlineLvl w:val="3"/>
        <w:rPr>
          <w:rFonts w:ascii="Times New Roman" w:eastAsia="Times New Roman" w:hAnsi="Times New Roman" w:cs="Times New Roman"/>
          <w:b/>
          <w:bCs/>
          <w:sz w:val="24"/>
          <w:szCs w:val="24"/>
          <w:lang w:eastAsia="ru-RU"/>
        </w:rPr>
      </w:pPr>
      <w:r w:rsidRPr="00D87383">
        <w:rPr>
          <w:rFonts w:ascii="Times New Roman" w:eastAsia="Times New Roman" w:hAnsi="Times New Roman" w:cs="Times New Roman"/>
          <w:b/>
          <w:bCs/>
          <w:sz w:val="24"/>
          <w:szCs w:val="24"/>
          <w:lang w:eastAsia="ru-RU"/>
        </w:rPr>
        <w:t>I. Объем и место сбора и накопления твердых коммунальных 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
        <w:gridCol w:w="1665"/>
        <w:gridCol w:w="1700"/>
        <w:gridCol w:w="1700"/>
        <w:gridCol w:w="2090"/>
        <w:gridCol w:w="1768"/>
      </w:tblGrid>
      <w:tr w:rsidR="00D87383" w:rsidRPr="00D87383" w:rsidTr="00D87383">
        <w:trPr>
          <w:trHeight w:val="15"/>
          <w:tblCellSpacing w:w="15" w:type="dxa"/>
        </w:trPr>
        <w:tc>
          <w:tcPr>
            <w:tcW w:w="554"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1848"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2218"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2033"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2218"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c>
          <w:tcPr>
            <w:tcW w:w="2587" w:type="dxa"/>
            <w:vAlign w:val="center"/>
            <w:hideMark/>
          </w:tcPr>
          <w:p w:rsidR="00D87383" w:rsidRPr="00D87383" w:rsidRDefault="00D87383" w:rsidP="00D87383">
            <w:pPr>
              <w:spacing w:after="0" w:line="240" w:lineRule="auto"/>
              <w:contextualSpacing/>
              <w:rPr>
                <w:rFonts w:ascii="Times New Roman" w:eastAsia="Times New Roman" w:hAnsi="Times New Roman" w:cs="Times New Roman"/>
                <w:sz w:val="2"/>
                <w:szCs w:val="24"/>
                <w:lang w:eastAsia="ru-RU"/>
              </w:rPr>
            </w:pPr>
          </w:p>
        </w:tc>
      </w:tr>
      <w:tr w:rsidR="00D87383" w:rsidRPr="00D87383" w:rsidTr="00D87383">
        <w:trPr>
          <w:tblCellSpacing w:w="15" w:type="dxa"/>
        </w:trPr>
        <w:tc>
          <w:tcPr>
            <w:tcW w:w="554"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N п/п </w:t>
            </w:r>
          </w:p>
        </w:tc>
        <w:tc>
          <w:tcPr>
            <w:tcW w:w="184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Наименование объекта </w:t>
            </w:r>
          </w:p>
        </w:tc>
        <w:tc>
          <w:tcPr>
            <w:tcW w:w="221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Объем принимаемых твердых коммунальных отходов </w:t>
            </w:r>
          </w:p>
        </w:tc>
        <w:tc>
          <w:tcPr>
            <w:tcW w:w="203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Место сбора и накопления</w:t>
            </w:r>
            <w:r w:rsidRPr="00D87383">
              <w:rPr>
                <w:rFonts w:ascii="Times New Roman" w:eastAsia="Times New Roman" w:hAnsi="Times New Roman" w:cs="Times New Roman"/>
                <w:sz w:val="24"/>
                <w:szCs w:val="24"/>
                <w:lang w:eastAsia="ru-RU"/>
              </w:rPr>
              <w:br/>
              <w:t xml:space="preserve">твердых коммунальных отходов </w:t>
            </w:r>
          </w:p>
        </w:tc>
        <w:tc>
          <w:tcPr>
            <w:tcW w:w="221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 xml:space="preserve">Место сбора и накопления крупногабаритных отходов </w:t>
            </w:r>
          </w:p>
        </w:tc>
        <w:tc>
          <w:tcPr>
            <w:tcW w:w="2587"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Периодичность</w:t>
            </w:r>
            <w:r w:rsidRPr="00D87383">
              <w:rPr>
                <w:rFonts w:ascii="Times New Roman" w:eastAsia="Times New Roman" w:hAnsi="Times New Roman" w:cs="Times New Roman"/>
                <w:sz w:val="24"/>
                <w:szCs w:val="24"/>
                <w:lang w:eastAsia="ru-RU"/>
              </w:rPr>
              <w:br/>
              <w:t>вывоза твердых</w:t>
            </w:r>
            <w:r w:rsidRPr="00D87383">
              <w:rPr>
                <w:rFonts w:ascii="Times New Roman" w:eastAsia="Times New Roman" w:hAnsi="Times New Roman" w:cs="Times New Roman"/>
                <w:sz w:val="24"/>
                <w:szCs w:val="24"/>
                <w:lang w:eastAsia="ru-RU"/>
              </w:rPr>
              <w:br/>
              <w:t>коммунальных</w:t>
            </w:r>
            <w:r w:rsidRPr="00D87383">
              <w:rPr>
                <w:rFonts w:ascii="Times New Roman" w:eastAsia="Times New Roman" w:hAnsi="Times New Roman" w:cs="Times New Roman"/>
                <w:sz w:val="24"/>
                <w:szCs w:val="24"/>
                <w:lang w:eastAsia="ru-RU"/>
              </w:rPr>
              <w:br/>
              <w:t xml:space="preserve">отходов </w:t>
            </w:r>
          </w:p>
        </w:tc>
      </w:tr>
      <w:tr w:rsidR="00D87383" w:rsidRPr="00D87383" w:rsidTr="00D87383">
        <w:trPr>
          <w:tblCellSpacing w:w="15" w:type="dxa"/>
        </w:trPr>
        <w:tc>
          <w:tcPr>
            <w:tcW w:w="554"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184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21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03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21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587"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554"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184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21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03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21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587"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r w:rsidR="00D87383" w:rsidRPr="00D87383" w:rsidTr="00D87383">
        <w:trPr>
          <w:tblCellSpacing w:w="15" w:type="dxa"/>
        </w:trPr>
        <w:tc>
          <w:tcPr>
            <w:tcW w:w="554"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184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21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033"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218"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c>
          <w:tcPr>
            <w:tcW w:w="2587" w:type="dxa"/>
            <w:tcBorders>
              <w:top w:val="single" w:sz="2" w:space="0" w:color="000000"/>
              <w:left w:val="single" w:sz="2" w:space="0" w:color="000000"/>
              <w:bottom w:val="single" w:sz="2" w:space="0" w:color="000000"/>
              <w:right w:val="single" w:sz="2" w:space="0" w:color="000000"/>
            </w:tcBorders>
            <w:tcMar>
              <w:top w:w="15" w:type="dxa"/>
              <w:left w:w="74" w:type="dxa"/>
              <w:bottom w:w="15" w:type="dxa"/>
              <w:right w:w="74" w:type="dxa"/>
            </w:tcMar>
            <w:hideMark/>
          </w:tcPr>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p>
        </w:tc>
      </w:tr>
    </w:tbl>
    <w:p w:rsidR="00D87383" w:rsidRPr="00D87383" w:rsidRDefault="00D87383" w:rsidP="00D87383">
      <w:pPr>
        <w:spacing w:before="100" w:beforeAutospacing="1" w:after="100" w:afterAutospacing="1" w:line="240" w:lineRule="auto"/>
        <w:contextualSpacing/>
        <w:outlineLvl w:val="3"/>
        <w:rPr>
          <w:rFonts w:ascii="Times New Roman" w:eastAsia="Times New Roman" w:hAnsi="Times New Roman" w:cs="Times New Roman"/>
          <w:b/>
          <w:bCs/>
          <w:sz w:val="24"/>
          <w:szCs w:val="24"/>
          <w:lang w:eastAsia="ru-RU"/>
        </w:rPr>
      </w:pPr>
      <w:r w:rsidRPr="00D87383">
        <w:rPr>
          <w:rFonts w:ascii="Times New Roman" w:eastAsia="Times New Roman" w:hAnsi="Times New Roman" w:cs="Times New Roman"/>
          <w:b/>
          <w:bCs/>
          <w:sz w:val="24"/>
          <w:szCs w:val="24"/>
          <w:lang w:eastAsia="ru-RU"/>
        </w:rPr>
        <w:t>II. Информация в графическом виде о размещении мест сбора и накопления твердых коммунальных отходов и подъездных путей к ним (за исключением жилых домов)</w:t>
      </w:r>
    </w:p>
    <w:p w:rsidR="00D87383" w:rsidRPr="00D87383" w:rsidRDefault="00D87383" w:rsidP="00D8738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r>
      <w:r w:rsidRPr="00D87383">
        <w:rPr>
          <w:rFonts w:ascii="Times New Roman" w:eastAsia="Times New Roman" w:hAnsi="Times New Roman" w:cs="Times New Roman"/>
          <w:sz w:val="24"/>
          <w:szCs w:val="24"/>
          <w:lang w:eastAsia="ru-RU"/>
        </w:rPr>
        <w:br/>
        <w:t>Электронный текст документа</w:t>
      </w:r>
      <w:r w:rsidRPr="00D87383">
        <w:rPr>
          <w:rFonts w:ascii="Times New Roman" w:eastAsia="Times New Roman" w:hAnsi="Times New Roman" w:cs="Times New Roman"/>
          <w:sz w:val="24"/>
          <w:szCs w:val="24"/>
          <w:lang w:eastAsia="ru-RU"/>
        </w:rPr>
        <w:br/>
        <w:t xml:space="preserve">подготовлен АО "Кодекс" и сверен </w:t>
      </w:r>
      <w:proofErr w:type="gramStart"/>
      <w:r w:rsidRPr="00D87383">
        <w:rPr>
          <w:rFonts w:ascii="Times New Roman" w:eastAsia="Times New Roman" w:hAnsi="Times New Roman" w:cs="Times New Roman"/>
          <w:sz w:val="24"/>
          <w:szCs w:val="24"/>
          <w:lang w:eastAsia="ru-RU"/>
        </w:rPr>
        <w:t>по:</w:t>
      </w:r>
      <w:r w:rsidRPr="00D87383">
        <w:rPr>
          <w:rFonts w:ascii="Times New Roman" w:eastAsia="Times New Roman" w:hAnsi="Times New Roman" w:cs="Times New Roman"/>
          <w:sz w:val="24"/>
          <w:szCs w:val="24"/>
          <w:lang w:eastAsia="ru-RU"/>
        </w:rPr>
        <w:br/>
        <w:t>Официальный</w:t>
      </w:r>
      <w:proofErr w:type="gramEnd"/>
      <w:r w:rsidRPr="00D87383">
        <w:rPr>
          <w:rFonts w:ascii="Times New Roman" w:eastAsia="Times New Roman" w:hAnsi="Times New Roman" w:cs="Times New Roman"/>
          <w:sz w:val="24"/>
          <w:szCs w:val="24"/>
          <w:lang w:eastAsia="ru-RU"/>
        </w:rPr>
        <w:t xml:space="preserve"> интернет-портал </w:t>
      </w:r>
      <w:r w:rsidRPr="00D87383">
        <w:rPr>
          <w:rFonts w:ascii="Times New Roman" w:eastAsia="Times New Roman" w:hAnsi="Times New Roman" w:cs="Times New Roman"/>
          <w:sz w:val="24"/>
          <w:szCs w:val="24"/>
          <w:lang w:eastAsia="ru-RU"/>
        </w:rPr>
        <w:br/>
        <w:t>правовой информации</w:t>
      </w:r>
      <w:r w:rsidRPr="00D87383">
        <w:rPr>
          <w:rFonts w:ascii="Times New Roman" w:eastAsia="Times New Roman" w:hAnsi="Times New Roman" w:cs="Times New Roman"/>
          <w:sz w:val="24"/>
          <w:szCs w:val="24"/>
          <w:lang w:eastAsia="ru-RU"/>
        </w:rPr>
        <w:br/>
      </w:r>
      <w:proofErr w:type="spellStart"/>
      <w:r w:rsidRPr="00D87383">
        <w:rPr>
          <w:rFonts w:ascii="Times New Roman" w:eastAsia="Times New Roman" w:hAnsi="Times New Roman" w:cs="Times New Roman"/>
          <w:sz w:val="24"/>
          <w:szCs w:val="24"/>
          <w:lang w:eastAsia="ru-RU"/>
        </w:rPr>
        <w:t>www.pravo.gov.ru</w:t>
      </w:r>
      <w:proofErr w:type="spellEnd"/>
      <w:r w:rsidRPr="00D87383">
        <w:rPr>
          <w:rFonts w:ascii="Times New Roman" w:eastAsia="Times New Roman" w:hAnsi="Times New Roman" w:cs="Times New Roman"/>
          <w:sz w:val="24"/>
          <w:szCs w:val="24"/>
          <w:lang w:eastAsia="ru-RU"/>
        </w:rPr>
        <w:t>, 17.11.2016,</w:t>
      </w:r>
      <w:r w:rsidRPr="00D87383">
        <w:rPr>
          <w:rFonts w:ascii="Times New Roman" w:eastAsia="Times New Roman" w:hAnsi="Times New Roman" w:cs="Times New Roman"/>
          <w:sz w:val="24"/>
          <w:szCs w:val="24"/>
          <w:lang w:eastAsia="ru-RU"/>
        </w:rPr>
        <w:br/>
        <w:t>N 0001201611170026</w:t>
      </w:r>
      <w:r w:rsidRPr="00D87383">
        <w:rPr>
          <w:rFonts w:ascii="Times New Roman" w:eastAsia="Times New Roman" w:hAnsi="Times New Roman" w:cs="Times New Roman"/>
          <w:sz w:val="24"/>
          <w:szCs w:val="24"/>
          <w:lang w:eastAsia="ru-RU"/>
        </w:rPr>
        <w:br/>
      </w:r>
    </w:p>
    <w:p w:rsidR="00D87383" w:rsidRPr="00D87383" w:rsidRDefault="00D87383" w:rsidP="00D87383">
      <w:pPr>
        <w:spacing w:after="0" w:line="240" w:lineRule="auto"/>
        <w:contextualSpacing/>
        <w:rPr>
          <w:rFonts w:ascii="Times New Roman" w:eastAsia="Times New Roman" w:hAnsi="Times New Roman" w:cs="Times New Roman"/>
          <w:sz w:val="24"/>
          <w:szCs w:val="24"/>
          <w:lang w:eastAsia="ru-RU"/>
        </w:rPr>
      </w:pPr>
      <w:r w:rsidRPr="00D87383">
        <w:rPr>
          <w:rFonts w:ascii="Times New Roman" w:eastAsia="Times New Roman" w:hAnsi="Times New Roman" w:cs="Times New Roman"/>
          <w:sz w:val="24"/>
          <w:szCs w:val="24"/>
          <w:lang w:eastAsia="ru-RU"/>
        </w:rPr>
        <w:t>Информация о данном документе содержится в профессиональных справочных системах «Кодекс» и «</w:t>
      </w:r>
      <w:proofErr w:type="spellStart"/>
      <w:r w:rsidRPr="00D87383">
        <w:rPr>
          <w:rFonts w:ascii="Times New Roman" w:eastAsia="Times New Roman" w:hAnsi="Times New Roman" w:cs="Times New Roman"/>
          <w:sz w:val="24"/>
          <w:szCs w:val="24"/>
          <w:lang w:eastAsia="ru-RU"/>
        </w:rPr>
        <w:t>Техэксперт</w:t>
      </w:r>
      <w:proofErr w:type="spellEnd"/>
      <w:r w:rsidRPr="00D87383">
        <w:rPr>
          <w:rFonts w:ascii="Times New Roman" w:eastAsia="Times New Roman" w:hAnsi="Times New Roman" w:cs="Times New Roman"/>
          <w:sz w:val="24"/>
          <w:szCs w:val="24"/>
          <w:lang w:eastAsia="ru-RU"/>
        </w:rPr>
        <w:t>»</w:t>
      </w:r>
    </w:p>
    <w:p w:rsidR="00D87383" w:rsidRPr="00D87383" w:rsidRDefault="00BD4D95" w:rsidP="00D87383">
      <w:pPr>
        <w:spacing w:after="0" w:line="240" w:lineRule="auto"/>
        <w:contextualSpacing/>
        <w:rPr>
          <w:rFonts w:ascii="Times New Roman" w:eastAsia="Times New Roman" w:hAnsi="Times New Roman" w:cs="Times New Roman"/>
          <w:sz w:val="24"/>
          <w:szCs w:val="24"/>
          <w:lang w:eastAsia="ru-RU"/>
        </w:rPr>
      </w:pPr>
      <w:hyperlink r:id="rId13" w:history="1">
        <w:r w:rsidR="00D87383" w:rsidRPr="00D87383">
          <w:rPr>
            <w:rFonts w:ascii="Times New Roman" w:eastAsia="Times New Roman" w:hAnsi="Times New Roman" w:cs="Times New Roman"/>
            <w:color w:val="0000FF"/>
            <w:sz w:val="24"/>
            <w:szCs w:val="24"/>
            <w:u w:val="single"/>
            <w:lang w:eastAsia="ru-RU"/>
          </w:rPr>
          <w:t>Узнать больше о системах</w:t>
        </w:r>
      </w:hyperlink>
      <w:r w:rsidR="00D87383" w:rsidRPr="00D87383">
        <w:rPr>
          <w:rFonts w:ascii="Times New Roman" w:eastAsia="Times New Roman" w:hAnsi="Times New Roman" w:cs="Times New Roman"/>
          <w:sz w:val="24"/>
          <w:szCs w:val="24"/>
          <w:lang w:eastAsia="ru-RU"/>
        </w:rPr>
        <w:t xml:space="preserve"> </w:t>
      </w:r>
    </w:p>
    <w:p w:rsidR="003C17D2" w:rsidRDefault="003C17D2" w:rsidP="00D87383">
      <w:pPr>
        <w:contextualSpacing/>
      </w:pPr>
    </w:p>
    <w:sectPr w:rsidR="003C17D2" w:rsidSect="003C1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83"/>
    <w:rsid w:val="003C17D2"/>
    <w:rsid w:val="00BD4D95"/>
    <w:rsid w:val="00D87383"/>
    <w:rsid w:val="00DE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D12D4-3DB2-43E9-8045-7953A1DE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D2"/>
  </w:style>
  <w:style w:type="paragraph" w:styleId="1">
    <w:name w:val="heading 1"/>
    <w:basedOn w:val="a"/>
    <w:link w:val="10"/>
    <w:uiPriority w:val="9"/>
    <w:qFormat/>
    <w:rsid w:val="00D87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73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73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873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3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73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73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87383"/>
    <w:rPr>
      <w:rFonts w:ascii="Times New Roman" w:eastAsia="Times New Roman" w:hAnsi="Times New Roman" w:cs="Times New Roman"/>
      <w:b/>
      <w:bCs/>
      <w:sz w:val="24"/>
      <w:szCs w:val="24"/>
      <w:lang w:eastAsia="ru-RU"/>
    </w:rPr>
  </w:style>
  <w:style w:type="character" w:customStyle="1" w:styleId="info-title">
    <w:name w:val="info-title"/>
    <w:basedOn w:val="a0"/>
    <w:rsid w:val="00D87383"/>
  </w:style>
  <w:style w:type="paragraph" w:customStyle="1" w:styleId="headertext">
    <w:name w:val="headertext"/>
    <w:basedOn w:val="a"/>
    <w:rsid w:val="00D8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7383"/>
    <w:rPr>
      <w:color w:val="0000FF"/>
      <w:u w:val="single"/>
    </w:rPr>
  </w:style>
  <w:style w:type="paragraph" w:customStyle="1" w:styleId="formattext">
    <w:name w:val="formattext"/>
    <w:basedOn w:val="a"/>
    <w:rsid w:val="00D87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17114">
      <w:bodyDiv w:val="1"/>
      <w:marLeft w:val="0"/>
      <w:marRight w:val="0"/>
      <w:marTop w:val="0"/>
      <w:marBottom w:val="0"/>
      <w:divBdr>
        <w:top w:val="none" w:sz="0" w:space="0" w:color="auto"/>
        <w:left w:val="none" w:sz="0" w:space="0" w:color="auto"/>
        <w:bottom w:val="none" w:sz="0" w:space="0" w:color="auto"/>
        <w:right w:val="none" w:sz="0" w:space="0" w:color="auto"/>
      </w:divBdr>
      <w:divsChild>
        <w:div w:id="1957129402">
          <w:marLeft w:val="0"/>
          <w:marRight w:val="0"/>
          <w:marTop w:val="0"/>
          <w:marBottom w:val="0"/>
          <w:divBdr>
            <w:top w:val="none" w:sz="0" w:space="0" w:color="auto"/>
            <w:left w:val="none" w:sz="0" w:space="0" w:color="auto"/>
            <w:bottom w:val="none" w:sz="0" w:space="0" w:color="auto"/>
            <w:right w:val="none" w:sz="0" w:space="0" w:color="auto"/>
          </w:divBdr>
          <w:divsChild>
            <w:div w:id="81461474">
              <w:marLeft w:val="0"/>
              <w:marRight w:val="0"/>
              <w:marTop w:val="0"/>
              <w:marBottom w:val="0"/>
              <w:divBdr>
                <w:top w:val="none" w:sz="0" w:space="0" w:color="auto"/>
                <w:left w:val="none" w:sz="0" w:space="0" w:color="auto"/>
                <w:bottom w:val="none" w:sz="0" w:space="0" w:color="auto"/>
                <w:right w:val="none" w:sz="0" w:space="0" w:color="auto"/>
              </w:divBdr>
              <w:divsChild>
                <w:div w:id="2051957467">
                  <w:marLeft w:val="0"/>
                  <w:marRight w:val="0"/>
                  <w:marTop w:val="0"/>
                  <w:marBottom w:val="0"/>
                  <w:divBdr>
                    <w:top w:val="none" w:sz="0" w:space="0" w:color="auto"/>
                    <w:left w:val="none" w:sz="0" w:space="0" w:color="auto"/>
                    <w:bottom w:val="none" w:sz="0" w:space="0" w:color="auto"/>
                    <w:right w:val="none" w:sz="0" w:space="0" w:color="auto"/>
                  </w:divBdr>
                  <w:divsChild>
                    <w:div w:id="1225986476">
                      <w:marLeft w:val="0"/>
                      <w:marRight w:val="0"/>
                      <w:marTop w:val="0"/>
                      <w:marBottom w:val="0"/>
                      <w:divBdr>
                        <w:top w:val="none" w:sz="0" w:space="0" w:color="auto"/>
                        <w:left w:val="none" w:sz="0" w:space="0" w:color="auto"/>
                        <w:bottom w:val="none" w:sz="0" w:space="0" w:color="auto"/>
                        <w:right w:val="none" w:sz="0" w:space="0" w:color="auto"/>
                      </w:divBdr>
                    </w:div>
                    <w:div w:id="1523088577">
                      <w:marLeft w:val="0"/>
                      <w:marRight w:val="0"/>
                      <w:marTop w:val="0"/>
                      <w:marBottom w:val="0"/>
                      <w:divBdr>
                        <w:top w:val="none" w:sz="0" w:space="0" w:color="auto"/>
                        <w:left w:val="none" w:sz="0" w:space="0" w:color="auto"/>
                        <w:bottom w:val="none" w:sz="0" w:space="0" w:color="auto"/>
                        <w:right w:val="none" w:sz="0" w:space="0" w:color="auto"/>
                      </w:divBdr>
                      <w:divsChild>
                        <w:div w:id="1093208137">
                          <w:marLeft w:val="0"/>
                          <w:marRight w:val="0"/>
                          <w:marTop w:val="0"/>
                          <w:marBottom w:val="0"/>
                          <w:divBdr>
                            <w:top w:val="none" w:sz="0" w:space="0" w:color="auto"/>
                            <w:left w:val="none" w:sz="0" w:space="0" w:color="auto"/>
                            <w:bottom w:val="none" w:sz="0" w:space="0" w:color="auto"/>
                            <w:right w:val="none" w:sz="0" w:space="0" w:color="auto"/>
                          </w:divBdr>
                          <w:divsChild>
                            <w:div w:id="1475559103">
                              <w:marLeft w:val="0"/>
                              <w:marRight w:val="0"/>
                              <w:marTop w:val="0"/>
                              <w:marBottom w:val="0"/>
                              <w:divBdr>
                                <w:top w:val="none" w:sz="0" w:space="0" w:color="auto"/>
                                <w:left w:val="none" w:sz="0" w:space="0" w:color="auto"/>
                                <w:bottom w:val="none" w:sz="0" w:space="0" w:color="auto"/>
                                <w:right w:val="none" w:sz="0" w:space="0" w:color="auto"/>
                              </w:divBdr>
                              <w:divsChild>
                                <w:div w:id="1985812360">
                                  <w:marLeft w:val="0"/>
                                  <w:marRight w:val="0"/>
                                  <w:marTop w:val="0"/>
                                  <w:marBottom w:val="0"/>
                                  <w:divBdr>
                                    <w:top w:val="none" w:sz="0" w:space="0" w:color="auto"/>
                                    <w:left w:val="none" w:sz="0" w:space="0" w:color="auto"/>
                                    <w:bottom w:val="none" w:sz="0" w:space="0" w:color="auto"/>
                                    <w:right w:val="none" w:sz="0" w:space="0" w:color="auto"/>
                                  </w:divBdr>
                                  <w:divsChild>
                                    <w:div w:id="2029519596">
                                      <w:marLeft w:val="0"/>
                                      <w:marRight w:val="0"/>
                                      <w:marTop w:val="0"/>
                                      <w:marBottom w:val="0"/>
                                      <w:divBdr>
                                        <w:top w:val="none" w:sz="0" w:space="0" w:color="auto"/>
                                        <w:left w:val="none" w:sz="0" w:space="0" w:color="auto"/>
                                        <w:bottom w:val="none" w:sz="0" w:space="0" w:color="auto"/>
                                        <w:right w:val="none" w:sz="0" w:space="0" w:color="auto"/>
                                      </w:divBdr>
                                    </w:div>
                                    <w:div w:id="374744135">
                                      <w:marLeft w:val="0"/>
                                      <w:marRight w:val="0"/>
                                      <w:marTop w:val="0"/>
                                      <w:marBottom w:val="0"/>
                                      <w:divBdr>
                                        <w:top w:val="none" w:sz="0" w:space="0" w:color="auto"/>
                                        <w:left w:val="none" w:sz="0" w:space="0" w:color="auto"/>
                                        <w:bottom w:val="none" w:sz="0" w:space="0" w:color="auto"/>
                                        <w:right w:val="none" w:sz="0" w:space="0" w:color="auto"/>
                                      </w:divBdr>
                                    </w:div>
                                    <w:div w:id="1382049542">
                                      <w:marLeft w:val="0"/>
                                      <w:marRight w:val="0"/>
                                      <w:marTop w:val="0"/>
                                      <w:marBottom w:val="0"/>
                                      <w:divBdr>
                                        <w:top w:val="none" w:sz="0" w:space="0" w:color="auto"/>
                                        <w:left w:val="none" w:sz="0" w:space="0" w:color="auto"/>
                                        <w:bottom w:val="none" w:sz="0" w:space="0" w:color="auto"/>
                                        <w:right w:val="none" w:sz="0" w:space="0" w:color="auto"/>
                                      </w:divBdr>
                                    </w:div>
                                    <w:div w:id="2110616353">
                                      <w:marLeft w:val="0"/>
                                      <w:marRight w:val="0"/>
                                      <w:marTop w:val="0"/>
                                      <w:marBottom w:val="0"/>
                                      <w:divBdr>
                                        <w:top w:val="none" w:sz="0" w:space="0" w:color="auto"/>
                                        <w:left w:val="none" w:sz="0" w:space="0" w:color="auto"/>
                                        <w:bottom w:val="none" w:sz="0" w:space="0" w:color="auto"/>
                                        <w:right w:val="none" w:sz="0" w:space="0" w:color="auto"/>
                                      </w:divBdr>
                                    </w:div>
                                    <w:div w:id="1734349154">
                                      <w:marLeft w:val="0"/>
                                      <w:marRight w:val="0"/>
                                      <w:marTop w:val="0"/>
                                      <w:marBottom w:val="0"/>
                                      <w:divBdr>
                                        <w:top w:val="none" w:sz="0" w:space="0" w:color="auto"/>
                                        <w:left w:val="none" w:sz="0" w:space="0" w:color="auto"/>
                                        <w:bottom w:val="none" w:sz="0" w:space="0" w:color="auto"/>
                                        <w:right w:val="none" w:sz="0" w:space="0" w:color="auto"/>
                                      </w:divBdr>
                                    </w:div>
                                    <w:div w:id="1760367348">
                                      <w:marLeft w:val="0"/>
                                      <w:marRight w:val="0"/>
                                      <w:marTop w:val="0"/>
                                      <w:marBottom w:val="0"/>
                                      <w:divBdr>
                                        <w:top w:val="none" w:sz="0" w:space="0" w:color="auto"/>
                                        <w:left w:val="none" w:sz="0" w:space="0" w:color="auto"/>
                                        <w:bottom w:val="none" w:sz="0" w:space="0" w:color="auto"/>
                                        <w:right w:val="none" w:sz="0" w:space="0" w:color="auto"/>
                                      </w:divBdr>
                                    </w:div>
                                    <w:div w:id="430660646">
                                      <w:marLeft w:val="0"/>
                                      <w:marRight w:val="0"/>
                                      <w:marTop w:val="0"/>
                                      <w:marBottom w:val="0"/>
                                      <w:divBdr>
                                        <w:top w:val="none" w:sz="0" w:space="0" w:color="auto"/>
                                        <w:left w:val="none" w:sz="0" w:space="0" w:color="auto"/>
                                        <w:bottom w:val="none" w:sz="0" w:space="0" w:color="auto"/>
                                        <w:right w:val="none" w:sz="0" w:space="0" w:color="auto"/>
                                      </w:divBdr>
                                    </w:div>
                                    <w:div w:id="786195027">
                                      <w:marLeft w:val="0"/>
                                      <w:marRight w:val="0"/>
                                      <w:marTop w:val="0"/>
                                      <w:marBottom w:val="0"/>
                                      <w:divBdr>
                                        <w:top w:val="none" w:sz="0" w:space="0" w:color="auto"/>
                                        <w:left w:val="none" w:sz="0" w:space="0" w:color="auto"/>
                                        <w:bottom w:val="none" w:sz="0" w:space="0" w:color="auto"/>
                                        <w:right w:val="none" w:sz="0" w:space="0" w:color="auto"/>
                                      </w:divBdr>
                                    </w:div>
                                    <w:div w:id="8940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3253">
                      <w:marLeft w:val="0"/>
                      <w:marRight w:val="0"/>
                      <w:marTop w:val="0"/>
                      <w:marBottom w:val="0"/>
                      <w:divBdr>
                        <w:top w:val="none" w:sz="0" w:space="0" w:color="auto"/>
                        <w:left w:val="none" w:sz="0" w:space="0" w:color="auto"/>
                        <w:bottom w:val="none" w:sz="0" w:space="0" w:color="auto"/>
                        <w:right w:val="none" w:sz="0" w:space="0" w:color="auto"/>
                      </w:divBdr>
                      <w:divsChild>
                        <w:div w:id="194582432">
                          <w:marLeft w:val="0"/>
                          <w:marRight w:val="0"/>
                          <w:marTop w:val="0"/>
                          <w:marBottom w:val="0"/>
                          <w:divBdr>
                            <w:top w:val="none" w:sz="0" w:space="0" w:color="auto"/>
                            <w:left w:val="none" w:sz="0" w:space="0" w:color="auto"/>
                            <w:bottom w:val="none" w:sz="0" w:space="0" w:color="auto"/>
                            <w:right w:val="none" w:sz="0" w:space="0" w:color="auto"/>
                          </w:divBdr>
                          <w:divsChild>
                            <w:div w:id="377360822">
                              <w:marLeft w:val="0"/>
                              <w:marRight w:val="0"/>
                              <w:marTop w:val="0"/>
                              <w:marBottom w:val="0"/>
                              <w:divBdr>
                                <w:top w:val="none" w:sz="0" w:space="0" w:color="auto"/>
                                <w:left w:val="none" w:sz="0" w:space="0" w:color="auto"/>
                                <w:bottom w:val="none" w:sz="0" w:space="0" w:color="auto"/>
                                <w:right w:val="none" w:sz="0" w:space="0" w:color="auto"/>
                              </w:divBdr>
                              <w:divsChild>
                                <w:div w:id="75366771">
                                  <w:marLeft w:val="0"/>
                                  <w:marRight w:val="0"/>
                                  <w:marTop w:val="0"/>
                                  <w:marBottom w:val="0"/>
                                  <w:divBdr>
                                    <w:top w:val="none" w:sz="0" w:space="0" w:color="auto"/>
                                    <w:left w:val="none" w:sz="0" w:space="0" w:color="auto"/>
                                    <w:bottom w:val="none" w:sz="0" w:space="0" w:color="auto"/>
                                    <w:right w:val="none" w:sz="0" w:space="0" w:color="auto"/>
                                  </w:divBdr>
                                  <w:divsChild>
                                    <w:div w:id="1684353748">
                                      <w:marLeft w:val="0"/>
                                      <w:marRight w:val="0"/>
                                      <w:marTop w:val="0"/>
                                      <w:marBottom w:val="0"/>
                                      <w:divBdr>
                                        <w:top w:val="none" w:sz="0" w:space="0" w:color="auto"/>
                                        <w:left w:val="none" w:sz="0" w:space="0" w:color="auto"/>
                                        <w:bottom w:val="none" w:sz="0" w:space="0" w:color="auto"/>
                                        <w:right w:val="none" w:sz="0" w:space="0" w:color="auto"/>
                                      </w:divBdr>
                                      <w:divsChild>
                                        <w:div w:id="3553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8237" TargetMode="External"/><Relationship Id="rId13" Type="http://schemas.openxmlformats.org/officeDocument/2006/relationships/hyperlink" Target="http://www.cntd.ru/products.html" TargetMode="External"/><Relationship Id="rId3" Type="http://schemas.openxmlformats.org/officeDocument/2006/relationships/webSettings" Target="webSettings.xml"/><Relationship Id="rId7" Type="http://schemas.openxmlformats.org/officeDocument/2006/relationships/hyperlink" Target="http://docs.cntd.ru/document/901711591" TargetMode="External"/><Relationship Id="rId12" Type="http://schemas.openxmlformats.org/officeDocument/2006/relationships/hyperlink" Target="http://docs.cntd.ru/document/9017115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15965" TargetMode="External"/><Relationship Id="rId11" Type="http://schemas.openxmlformats.org/officeDocument/2006/relationships/hyperlink" Target="http://docs.cntd.ru/document/420358237" TargetMode="External"/><Relationship Id="rId5" Type="http://schemas.openxmlformats.org/officeDocument/2006/relationships/hyperlink" Target="http://docs.cntd.ru/document/901711591" TargetMode="External"/><Relationship Id="rId15" Type="http://schemas.openxmlformats.org/officeDocument/2006/relationships/theme" Target="theme/theme1.xml"/><Relationship Id="rId10" Type="http://schemas.openxmlformats.org/officeDocument/2006/relationships/hyperlink" Target="http://docs.cntd.ru/document/420358237" TargetMode="External"/><Relationship Id="rId4" Type="http://schemas.openxmlformats.org/officeDocument/2006/relationships/hyperlink" Target="http://docs.cntd.ru/document/902115965" TargetMode="External"/><Relationship Id="rId9" Type="http://schemas.openxmlformats.org/officeDocument/2006/relationships/hyperlink" Target="http://docs.cntd.ru/document/4203582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6330</Words>
  <Characters>36083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2</cp:revision>
  <cp:lastPrinted>2018-04-13T07:42:00Z</cp:lastPrinted>
  <dcterms:created xsi:type="dcterms:W3CDTF">2019-12-12T07:32:00Z</dcterms:created>
  <dcterms:modified xsi:type="dcterms:W3CDTF">2019-12-12T07:32:00Z</dcterms:modified>
</cp:coreProperties>
</file>