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B2FD92" w14:textId="4F404A27" w:rsidR="00A0115C" w:rsidRPr="00A0115C" w:rsidRDefault="00A0115C" w:rsidP="00A0115C">
      <w:pPr>
        <w:spacing w:after="0" w:line="240" w:lineRule="auto"/>
        <w:rPr>
          <w:rFonts w:ascii="Times New Roman" w:eastAsia="Times New Roman" w:hAnsi="Times New Roman" w:cs="Times New Roman"/>
          <w:b/>
          <w:sz w:val="28"/>
          <w:szCs w:val="28"/>
          <w:lang w:eastAsia="ru-RU"/>
        </w:rPr>
      </w:pPr>
      <w:r w:rsidRPr="00A0115C">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14:anchorId="3B87D995" wp14:editId="4AC17173">
            <wp:simplePos x="0" y="0"/>
            <wp:positionH relativeFrom="column">
              <wp:posOffset>3090545</wp:posOffset>
            </wp:positionH>
            <wp:positionV relativeFrom="paragraph">
              <wp:posOffset>-228600</wp:posOffset>
            </wp:positionV>
            <wp:extent cx="500380" cy="59309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500380" cy="593090"/>
                    </a:xfrm>
                    <a:prstGeom prst="rect">
                      <a:avLst/>
                    </a:prstGeom>
                    <a:noFill/>
                  </pic:spPr>
                </pic:pic>
              </a:graphicData>
            </a:graphic>
            <wp14:sizeRelH relativeFrom="page">
              <wp14:pctWidth>0</wp14:pctWidth>
            </wp14:sizeRelH>
            <wp14:sizeRelV relativeFrom="page">
              <wp14:pctHeight>0</wp14:pctHeight>
            </wp14:sizeRelV>
          </wp:anchor>
        </w:drawing>
      </w:r>
    </w:p>
    <w:p w14:paraId="1EB6BF14" w14:textId="77777777" w:rsidR="00A0115C" w:rsidRPr="00A0115C" w:rsidRDefault="00A0115C" w:rsidP="00A0115C">
      <w:pPr>
        <w:spacing w:after="0" w:line="240" w:lineRule="auto"/>
        <w:jc w:val="center"/>
        <w:rPr>
          <w:rFonts w:ascii="Times New Roman" w:eastAsia="Times New Roman" w:hAnsi="Times New Roman" w:cs="Times New Roman"/>
          <w:b/>
          <w:sz w:val="28"/>
          <w:szCs w:val="28"/>
          <w:lang w:eastAsia="ru-RU"/>
        </w:rPr>
      </w:pPr>
    </w:p>
    <w:p w14:paraId="63CD3177" w14:textId="77777777" w:rsidR="00A0115C" w:rsidRPr="00A0115C" w:rsidRDefault="00A0115C" w:rsidP="00A0115C">
      <w:pPr>
        <w:spacing w:after="0" w:line="240" w:lineRule="auto"/>
        <w:jc w:val="right"/>
        <w:rPr>
          <w:rFonts w:ascii="Times New Roman" w:eastAsia="Times New Roman" w:hAnsi="Times New Roman" w:cs="Times New Roman"/>
          <w:b/>
          <w:sz w:val="28"/>
          <w:szCs w:val="28"/>
          <w:lang w:eastAsia="ru-RU"/>
        </w:rPr>
      </w:pPr>
      <w:r w:rsidRPr="00A0115C">
        <w:rPr>
          <w:rFonts w:ascii="Times New Roman" w:eastAsia="Times New Roman" w:hAnsi="Times New Roman" w:cs="Times New Roman"/>
          <w:b/>
          <w:sz w:val="28"/>
          <w:szCs w:val="28"/>
          <w:lang w:eastAsia="ru-RU"/>
        </w:rPr>
        <w:t xml:space="preserve">                                      </w:t>
      </w:r>
    </w:p>
    <w:p w14:paraId="51EF7BD8" w14:textId="77777777" w:rsidR="00A0115C" w:rsidRPr="00A0115C" w:rsidRDefault="00A0115C" w:rsidP="00A0115C">
      <w:pPr>
        <w:spacing w:after="0" w:line="240" w:lineRule="auto"/>
        <w:jc w:val="center"/>
        <w:rPr>
          <w:rFonts w:ascii="Times New Roman" w:eastAsia="Times New Roman" w:hAnsi="Times New Roman" w:cs="Times New Roman"/>
          <w:b/>
          <w:sz w:val="28"/>
          <w:szCs w:val="28"/>
          <w:lang w:eastAsia="ru-RU"/>
        </w:rPr>
      </w:pPr>
      <w:r w:rsidRPr="00A0115C">
        <w:rPr>
          <w:rFonts w:ascii="Times New Roman" w:eastAsia="Times New Roman" w:hAnsi="Times New Roman" w:cs="Times New Roman"/>
          <w:b/>
          <w:sz w:val="28"/>
          <w:szCs w:val="28"/>
          <w:lang w:eastAsia="ru-RU"/>
        </w:rPr>
        <w:t>Российская Федерация</w:t>
      </w:r>
    </w:p>
    <w:p w14:paraId="6B6EF099" w14:textId="77777777" w:rsidR="00A0115C" w:rsidRPr="00A0115C" w:rsidRDefault="00A0115C" w:rsidP="00A0115C">
      <w:pPr>
        <w:spacing w:after="0" w:line="240" w:lineRule="auto"/>
        <w:jc w:val="center"/>
        <w:rPr>
          <w:rFonts w:ascii="Times New Roman" w:eastAsia="Times New Roman" w:hAnsi="Times New Roman" w:cs="Times New Roman"/>
          <w:b/>
          <w:sz w:val="28"/>
          <w:szCs w:val="28"/>
          <w:lang w:eastAsia="ru-RU"/>
        </w:rPr>
      </w:pPr>
      <w:r w:rsidRPr="00A0115C">
        <w:rPr>
          <w:rFonts w:ascii="Times New Roman" w:eastAsia="Times New Roman" w:hAnsi="Times New Roman" w:cs="Times New Roman"/>
          <w:b/>
          <w:sz w:val="28"/>
          <w:szCs w:val="28"/>
          <w:lang w:eastAsia="ru-RU"/>
        </w:rPr>
        <w:t>Новгородская область</w:t>
      </w:r>
    </w:p>
    <w:p w14:paraId="1A110356" w14:textId="77777777" w:rsidR="00A0115C" w:rsidRPr="00A0115C" w:rsidRDefault="00A0115C" w:rsidP="00A0115C">
      <w:pPr>
        <w:spacing w:after="0" w:line="240" w:lineRule="auto"/>
        <w:jc w:val="center"/>
        <w:rPr>
          <w:rFonts w:ascii="Times New Roman" w:eastAsia="Times New Roman" w:hAnsi="Times New Roman" w:cs="Times New Roman"/>
          <w:b/>
          <w:sz w:val="28"/>
          <w:szCs w:val="28"/>
          <w:lang w:eastAsia="ru-RU"/>
        </w:rPr>
      </w:pPr>
      <w:r w:rsidRPr="00A0115C">
        <w:rPr>
          <w:rFonts w:ascii="Times New Roman" w:eastAsia="Times New Roman" w:hAnsi="Times New Roman" w:cs="Times New Roman"/>
          <w:b/>
          <w:sz w:val="28"/>
          <w:szCs w:val="28"/>
          <w:lang w:eastAsia="ru-RU"/>
        </w:rPr>
        <w:t xml:space="preserve"> Новгородский муниципальный район</w:t>
      </w:r>
    </w:p>
    <w:p w14:paraId="19B9C77F" w14:textId="77777777" w:rsidR="00A0115C" w:rsidRPr="00A0115C" w:rsidRDefault="00A0115C" w:rsidP="00A0115C">
      <w:pPr>
        <w:spacing w:after="0" w:line="240" w:lineRule="auto"/>
        <w:jc w:val="center"/>
        <w:rPr>
          <w:rFonts w:ascii="Times New Roman" w:eastAsia="Times New Roman" w:hAnsi="Times New Roman" w:cs="Times New Roman"/>
          <w:b/>
          <w:sz w:val="24"/>
          <w:szCs w:val="24"/>
          <w:lang w:eastAsia="ru-RU"/>
        </w:rPr>
      </w:pPr>
      <w:r w:rsidRPr="00A0115C">
        <w:rPr>
          <w:rFonts w:ascii="Times New Roman" w:eastAsia="Times New Roman" w:hAnsi="Times New Roman" w:cs="Times New Roman"/>
          <w:b/>
          <w:sz w:val="28"/>
          <w:szCs w:val="28"/>
          <w:lang w:eastAsia="ru-RU"/>
        </w:rPr>
        <w:t>АДМИНИСТРАЦИЯ БРОННИЦКОГО СЕЛЬСКОГО ПОСЕЛЕНИЯ</w:t>
      </w:r>
    </w:p>
    <w:p w14:paraId="07271108" w14:textId="77777777" w:rsidR="00A0115C" w:rsidRPr="00A0115C" w:rsidRDefault="00A0115C" w:rsidP="00A0115C">
      <w:pPr>
        <w:spacing w:after="0" w:line="240" w:lineRule="auto"/>
        <w:jc w:val="center"/>
        <w:rPr>
          <w:rFonts w:ascii="Times New Roman" w:eastAsia="Times New Roman" w:hAnsi="Times New Roman" w:cs="Times New Roman"/>
          <w:b/>
          <w:sz w:val="24"/>
          <w:szCs w:val="24"/>
          <w:lang w:eastAsia="ru-RU"/>
        </w:rPr>
      </w:pPr>
    </w:p>
    <w:p w14:paraId="00C514BC" w14:textId="77777777" w:rsidR="00A0115C" w:rsidRPr="00A0115C" w:rsidRDefault="00A0115C" w:rsidP="00A0115C">
      <w:pPr>
        <w:spacing w:after="0" w:line="240" w:lineRule="auto"/>
        <w:jc w:val="center"/>
        <w:rPr>
          <w:rFonts w:ascii="Times New Roman" w:eastAsia="Times New Roman" w:hAnsi="Times New Roman" w:cs="Times New Roman"/>
          <w:sz w:val="24"/>
          <w:szCs w:val="24"/>
          <w:lang w:eastAsia="ru-RU"/>
        </w:rPr>
      </w:pPr>
    </w:p>
    <w:p w14:paraId="23B925F3" w14:textId="77777777" w:rsidR="00A0115C" w:rsidRPr="00A0115C" w:rsidRDefault="00A0115C" w:rsidP="00A0115C">
      <w:pPr>
        <w:spacing w:after="0" w:line="240" w:lineRule="auto"/>
        <w:jc w:val="center"/>
        <w:rPr>
          <w:rFonts w:ascii="Times New Roman" w:eastAsia="Times New Roman" w:hAnsi="Times New Roman" w:cs="Times New Roman"/>
          <w:b/>
          <w:sz w:val="28"/>
          <w:szCs w:val="28"/>
          <w:lang w:eastAsia="ru-RU"/>
        </w:rPr>
      </w:pPr>
      <w:r w:rsidRPr="00A0115C">
        <w:rPr>
          <w:rFonts w:ascii="Times New Roman" w:eastAsia="Times New Roman" w:hAnsi="Times New Roman" w:cs="Times New Roman"/>
          <w:b/>
          <w:sz w:val="28"/>
          <w:szCs w:val="28"/>
          <w:lang w:eastAsia="ru-RU"/>
        </w:rPr>
        <w:t>РАСПОРЯЖЕНИЕ</w:t>
      </w:r>
    </w:p>
    <w:p w14:paraId="10F190DB" w14:textId="77777777" w:rsidR="00A0115C" w:rsidRPr="00A0115C" w:rsidRDefault="00A0115C" w:rsidP="00A0115C">
      <w:pPr>
        <w:spacing w:after="0" w:line="240" w:lineRule="auto"/>
        <w:jc w:val="center"/>
        <w:rPr>
          <w:rFonts w:ascii="Times New Roman" w:eastAsia="Times New Roman" w:hAnsi="Times New Roman" w:cs="Times New Roman"/>
          <w:sz w:val="24"/>
          <w:szCs w:val="24"/>
          <w:lang w:eastAsia="ru-RU"/>
        </w:rPr>
      </w:pPr>
    </w:p>
    <w:p w14:paraId="1E4EDBAB" w14:textId="77777777" w:rsidR="00A0115C" w:rsidRPr="00A0115C" w:rsidRDefault="00A0115C" w:rsidP="00A0115C">
      <w:pPr>
        <w:spacing w:after="0" w:line="240" w:lineRule="auto"/>
        <w:rPr>
          <w:rFonts w:ascii="Times New Roman" w:eastAsia="Times New Roman" w:hAnsi="Times New Roman" w:cs="Times New Roman"/>
          <w:sz w:val="24"/>
          <w:szCs w:val="24"/>
          <w:lang w:eastAsia="ru-RU"/>
        </w:rPr>
      </w:pPr>
    </w:p>
    <w:p w14:paraId="524DF07F" w14:textId="35ACA32D" w:rsidR="00A0115C" w:rsidRPr="00C03770" w:rsidRDefault="00A0115C" w:rsidP="00A0115C">
      <w:pPr>
        <w:spacing w:after="0" w:line="240" w:lineRule="auto"/>
        <w:rPr>
          <w:rFonts w:ascii="Times New Roman" w:eastAsia="Times New Roman" w:hAnsi="Times New Roman" w:cs="Times New Roman"/>
          <w:sz w:val="28"/>
          <w:szCs w:val="28"/>
          <w:lang w:eastAsia="ru-RU"/>
        </w:rPr>
      </w:pPr>
      <w:proofErr w:type="gramStart"/>
      <w:r w:rsidRPr="00AA5706">
        <w:rPr>
          <w:rFonts w:ascii="Times New Roman" w:eastAsia="Times New Roman" w:hAnsi="Times New Roman" w:cs="Times New Roman"/>
          <w:sz w:val="28"/>
          <w:szCs w:val="28"/>
          <w:lang w:eastAsia="ru-RU"/>
        </w:rPr>
        <w:t>от</w:t>
      </w:r>
      <w:proofErr w:type="gramEnd"/>
      <w:r w:rsidRPr="00AA5706">
        <w:rPr>
          <w:rFonts w:ascii="Times New Roman" w:eastAsia="Times New Roman" w:hAnsi="Times New Roman" w:cs="Times New Roman"/>
          <w:sz w:val="28"/>
          <w:szCs w:val="28"/>
          <w:lang w:eastAsia="ru-RU"/>
        </w:rPr>
        <w:t xml:space="preserve"> </w:t>
      </w:r>
      <w:r w:rsidR="00D6331C">
        <w:rPr>
          <w:rFonts w:ascii="Times New Roman" w:eastAsia="Times New Roman" w:hAnsi="Times New Roman" w:cs="Times New Roman"/>
          <w:sz w:val="28"/>
          <w:szCs w:val="28"/>
          <w:lang w:eastAsia="ru-RU"/>
        </w:rPr>
        <w:t>0</w:t>
      </w:r>
      <w:r w:rsidR="00D07609">
        <w:rPr>
          <w:rFonts w:ascii="Times New Roman" w:eastAsia="Times New Roman" w:hAnsi="Times New Roman" w:cs="Times New Roman"/>
          <w:sz w:val="28"/>
          <w:szCs w:val="28"/>
          <w:lang w:eastAsia="ru-RU"/>
        </w:rPr>
        <w:t>6</w:t>
      </w:r>
      <w:r w:rsidR="00AA5706" w:rsidRPr="00AA5706">
        <w:rPr>
          <w:rFonts w:ascii="Times New Roman" w:eastAsia="Times New Roman" w:hAnsi="Times New Roman" w:cs="Times New Roman"/>
          <w:sz w:val="28"/>
          <w:szCs w:val="28"/>
          <w:lang w:eastAsia="ru-RU"/>
        </w:rPr>
        <w:t>.</w:t>
      </w:r>
      <w:r w:rsidR="00D6331C">
        <w:rPr>
          <w:rFonts w:ascii="Times New Roman" w:eastAsia="Times New Roman" w:hAnsi="Times New Roman" w:cs="Times New Roman"/>
          <w:sz w:val="28"/>
          <w:szCs w:val="28"/>
          <w:lang w:eastAsia="ru-RU"/>
        </w:rPr>
        <w:t>0</w:t>
      </w:r>
      <w:r w:rsidR="00D07609">
        <w:rPr>
          <w:rFonts w:ascii="Times New Roman" w:eastAsia="Times New Roman" w:hAnsi="Times New Roman" w:cs="Times New Roman"/>
          <w:sz w:val="28"/>
          <w:szCs w:val="28"/>
          <w:lang w:eastAsia="ru-RU"/>
        </w:rPr>
        <w:t>6</w:t>
      </w:r>
      <w:r w:rsidR="00D6331C">
        <w:rPr>
          <w:rFonts w:ascii="Times New Roman" w:eastAsia="Times New Roman" w:hAnsi="Times New Roman" w:cs="Times New Roman"/>
          <w:sz w:val="28"/>
          <w:szCs w:val="28"/>
          <w:lang w:eastAsia="ru-RU"/>
        </w:rPr>
        <w:t>.</w:t>
      </w:r>
      <w:r w:rsidR="00AA5706" w:rsidRPr="00AA5706">
        <w:rPr>
          <w:rFonts w:ascii="Times New Roman" w:eastAsia="Times New Roman" w:hAnsi="Times New Roman" w:cs="Times New Roman"/>
          <w:sz w:val="28"/>
          <w:szCs w:val="28"/>
          <w:lang w:eastAsia="ru-RU"/>
        </w:rPr>
        <w:t>202</w:t>
      </w:r>
      <w:r w:rsidR="008801E7">
        <w:rPr>
          <w:rFonts w:ascii="Times New Roman" w:eastAsia="Times New Roman" w:hAnsi="Times New Roman" w:cs="Times New Roman"/>
          <w:sz w:val="28"/>
          <w:szCs w:val="28"/>
          <w:lang w:eastAsia="ru-RU"/>
        </w:rPr>
        <w:t>4</w:t>
      </w:r>
      <w:r w:rsidRPr="00AA5706">
        <w:rPr>
          <w:rFonts w:ascii="Times New Roman" w:eastAsia="Times New Roman" w:hAnsi="Times New Roman" w:cs="Times New Roman"/>
          <w:sz w:val="28"/>
          <w:szCs w:val="28"/>
          <w:lang w:eastAsia="ru-RU"/>
        </w:rPr>
        <w:t xml:space="preserve"> г</w:t>
      </w:r>
      <w:r w:rsidRPr="00F21D9B">
        <w:rPr>
          <w:rFonts w:ascii="Times New Roman" w:eastAsia="Times New Roman" w:hAnsi="Times New Roman" w:cs="Times New Roman"/>
          <w:sz w:val="28"/>
          <w:szCs w:val="28"/>
          <w:lang w:eastAsia="ru-RU"/>
        </w:rPr>
        <w:t>.    №</w:t>
      </w:r>
      <w:r w:rsidR="00D07609">
        <w:rPr>
          <w:rFonts w:ascii="Times New Roman" w:eastAsia="Times New Roman" w:hAnsi="Times New Roman" w:cs="Times New Roman"/>
          <w:sz w:val="28"/>
          <w:szCs w:val="28"/>
          <w:lang w:eastAsia="ru-RU"/>
        </w:rPr>
        <w:t>52</w:t>
      </w:r>
      <w:r w:rsidRPr="00F21D9B">
        <w:rPr>
          <w:rFonts w:ascii="Times New Roman" w:eastAsia="Times New Roman" w:hAnsi="Times New Roman" w:cs="Times New Roman"/>
          <w:sz w:val="28"/>
          <w:szCs w:val="28"/>
          <w:lang w:eastAsia="ru-RU"/>
        </w:rPr>
        <w:t>-р</w:t>
      </w:r>
      <w:r w:rsidR="00D6331C">
        <w:rPr>
          <w:rFonts w:ascii="Times New Roman" w:eastAsia="Times New Roman" w:hAnsi="Times New Roman" w:cs="Times New Roman"/>
          <w:sz w:val="28"/>
          <w:szCs w:val="28"/>
          <w:lang w:eastAsia="ru-RU"/>
        </w:rPr>
        <w:t>г</w:t>
      </w:r>
    </w:p>
    <w:p w14:paraId="13101144" w14:textId="77777777" w:rsidR="00A0115C" w:rsidRPr="00A0115C" w:rsidRDefault="00A0115C" w:rsidP="00A0115C">
      <w:pPr>
        <w:spacing w:after="0" w:line="240" w:lineRule="auto"/>
        <w:rPr>
          <w:rFonts w:ascii="Times New Roman" w:eastAsia="Times New Roman" w:hAnsi="Times New Roman" w:cs="Times New Roman"/>
          <w:sz w:val="28"/>
          <w:szCs w:val="28"/>
          <w:lang w:eastAsia="ru-RU"/>
        </w:rPr>
      </w:pPr>
      <w:r w:rsidRPr="00A0115C">
        <w:rPr>
          <w:rFonts w:ascii="Times New Roman" w:eastAsia="Times New Roman" w:hAnsi="Times New Roman" w:cs="Times New Roman"/>
          <w:sz w:val="28"/>
          <w:szCs w:val="28"/>
          <w:lang w:eastAsia="ru-RU"/>
        </w:rPr>
        <w:t>с. Бронница</w:t>
      </w:r>
    </w:p>
    <w:p w14:paraId="2740AFED" w14:textId="77777777" w:rsidR="000D685A" w:rsidRDefault="000D685A" w:rsidP="000D685A">
      <w:pPr>
        <w:spacing w:after="0" w:line="240" w:lineRule="auto"/>
        <w:rPr>
          <w:sz w:val="28"/>
          <w:szCs w:val="28"/>
        </w:rPr>
      </w:pPr>
    </w:p>
    <w:p w14:paraId="1DC9F104" w14:textId="77777777" w:rsidR="00D07609" w:rsidRPr="00D07609" w:rsidRDefault="00D07609" w:rsidP="00D07609">
      <w:pPr>
        <w:spacing w:after="0"/>
        <w:ind w:right="5527"/>
        <w:jc w:val="both"/>
        <w:rPr>
          <w:rFonts w:ascii="Times New Roman" w:hAnsi="Times New Roman" w:cs="Times New Roman"/>
          <w:sz w:val="28"/>
          <w:szCs w:val="28"/>
        </w:rPr>
      </w:pPr>
      <w:r w:rsidRPr="00D07609">
        <w:rPr>
          <w:rFonts w:ascii="Times New Roman" w:hAnsi="Times New Roman" w:cs="Times New Roman"/>
          <w:b/>
          <w:sz w:val="28"/>
          <w:szCs w:val="28"/>
        </w:rPr>
        <w:t>О внесении изменений в распоряжение Администрации Бронницкого сельского поселения от 12.04.2024 г. №35-рз</w:t>
      </w:r>
      <w:r w:rsidRPr="00D07609">
        <w:rPr>
          <w:rFonts w:ascii="Times New Roman" w:hAnsi="Times New Roman" w:cs="Times New Roman"/>
          <w:sz w:val="28"/>
          <w:szCs w:val="28"/>
        </w:rPr>
        <w:t xml:space="preserve"> </w:t>
      </w:r>
    </w:p>
    <w:p w14:paraId="672FEE88" w14:textId="77777777" w:rsidR="00D07609" w:rsidRPr="00D07609" w:rsidRDefault="00D07609" w:rsidP="00D07609">
      <w:pPr>
        <w:spacing w:after="0"/>
        <w:ind w:right="5102"/>
        <w:jc w:val="both"/>
        <w:rPr>
          <w:rFonts w:ascii="Times New Roman" w:hAnsi="Times New Roman" w:cs="Times New Roman"/>
          <w:sz w:val="28"/>
          <w:szCs w:val="28"/>
        </w:rPr>
      </w:pPr>
    </w:p>
    <w:p w14:paraId="34DECD92" w14:textId="77777777" w:rsidR="00D07609" w:rsidRPr="00D07609" w:rsidRDefault="00D07609" w:rsidP="00D07609">
      <w:pPr>
        <w:spacing w:after="0" w:line="240" w:lineRule="auto"/>
        <w:jc w:val="both"/>
        <w:rPr>
          <w:rFonts w:ascii="Times New Roman" w:hAnsi="Times New Roman" w:cs="Times New Roman"/>
          <w:sz w:val="28"/>
          <w:szCs w:val="28"/>
        </w:rPr>
      </w:pPr>
      <w:r w:rsidRPr="00D07609">
        <w:rPr>
          <w:rFonts w:ascii="Times New Roman" w:hAnsi="Times New Roman" w:cs="Times New Roman"/>
          <w:sz w:val="28"/>
          <w:szCs w:val="28"/>
        </w:rPr>
        <w:t xml:space="preserve">     Руководствуясь Налоговым кодексом Российской Федерации, Федеральным законом от 06.10.2003 №131-ФЗ «Об общих принципах организации местного самоуправления в Российской Федерации», постановлением Администрации Бронницкого сельского поселения от 26.02.2024 №46 «Об утверждении Порядка оценки эффективности налоговых льгот (налоговых расходов) по местным налогам в Бронницком сельском поселении», в целях определения результативности реализации налоговой политики в области местных налогов и налоговых преимуществ, полученных налогоплательщиками на территории Бронницкого сельского поселения,</w:t>
      </w:r>
    </w:p>
    <w:p w14:paraId="62811EAC" w14:textId="77777777" w:rsidR="00D07609" w:rsidRPr="00D07609" w:rsidRDefault="00D07609" w:rsidP="00D07609">
      <w:pPr>
        <w:spacing w:after="0" w:line="240" w:lineRule="auto"/>
        <w:jc w:val="both"/>
        <w:rPr>
          <w:rFonts w:ascii="Times New Roman" w:hAnsi="Times New Roman" w:cs="Times New Roman"/>
          <w:sz w:val="28"/>
          <w:szCs w:val="28"/>
        </w:rPr>
      </w:pPr>
    </w:p>
    <w:p w14:paraId="0E829503" w14:textId="77777777" w:rsidR="00D07609" w:rsidRPr="00D07609" w:rsidRDefault="00D07609" w:rsidP="00D07609">
      <w:pPr>
        <w:numPr>
          <w:ilvl w:val="0"/>
          <w:numId w:val="7"/>
        </w:numPr>
        <w:spacing w:after="0" w:line="240" w:lineRule="auto"/>
        <w:ind w:left="0" w:firstLine="567"/>
        <w:contextualSpacing/>
        <w:jc w:val="both"/>
        <w:rPr>
          <w:rFonts w:ascii="Times New Roman" w:hAnsi="Times New Roman" w:cs="Times New Roman"/>
          <w:sz w:val="28"/>
          <w:szCs w:val="28"/>
        </w:rPr>
      </w:pPr>
      <w:r w:rsidRPr="00D07609">
        <w:rPr>
          <w:rFonts w:ascii="Times New Roman" w:hAnsi="Times New Roman" w:cs="Times New Roman"/>
          <w:sz w:val="28"/>
          <w:szCs w:val="28"/>
        </w:rPr>
        <w:t>Внести в распоряжение Администрации Бронницкого сельского поселения от 12.04.2024 г. №35-рз «Об утверждении Аналитической записки о результатах оценки эффективности предоставленных налоговых льгот (налоговых расходов) по местным налогам Бронницкого сельского поселения» (далее – распоряжение)</w:t>
      </w:r>
      <w:r w:rsidRPr="00D07609">
        <w:t xml:space="preserve"> </w:t>
      </w:r>
      <w:r w:rsidRPr="00D07609">
        <w:rPr>
          <w:rFonts w:ascii="Times New Roman" w:hAnsi="Times New Roman" w:cs="Times New Roman"/>
          <w:sz w:val="28"/>
          <w:szCs w:val="28"/>
        </w:rPr>
        <w:t>следующие изменения:</w:t>
      </w:r>
    </w:p>
    <w:p w14:paraId="429B567A" w14:textId="77777777" w:rsidR="00D07609" w:rsidRPr="00D07609" w:rsidRDefault="00D07609" w:rsidP="00D07609">
      <w:pPr>
        <w:numPr>
          <w:ilvl w:val="1"/>
          <w:numId w:val="7"/>
        </w:numPr>
        <w:spacing w:after="0" w:line="240" w:lineRule="auto"/>
        <w:contextualSpacing/>
        <w:jc w:val="both"/>
        <w:rPr>
          <w:rFonts w:ascii="Times New Roman" w:hAnsi="Times New Roman" w:cs="Times New Roman"/>
          <w:sz w:val="28"/>
          <w:szCs w:val="28"/>
        </w:rPr>
      </w:pPr>
      <w:r w:rsidRPr="00D07609">
        <w:rPr>
          <w:rFonts w:ascii="Times New Roman" w:hAnsi="Times New Roman" w:cs="Times New Roman"/>
          <w:sz w:val="28"/>
          <w:szCs w:val="28"/>
        </w:rPr>
        <w:t xml:space="preserve">  Раздел 2 распоряжения дополнить девятым абзацем следующего содержания:</w:t>
      </w:r>
    </w:p>
    <w:p w14:paraId="5C515D9C" w14:textId="77777777" w:rsidR="00D07609" w:rsidRPr="00D07609" w:rsidRDefault="00D07609" w:rsidP="00D07609">
      <w:pPr>
        <w:spacing w:after="0" w:line="240" w:lineRule="auto"/>
        <w:ind w:firstLine="360"/>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«Налоговые расходы, подразделяются на 2 типа в зависимости от целевой категории:</w:t>
      </w:r>
    </w:p>
    <w:p w14:paraId="38811AF7" w14:textId="77777777" w:rsidR="00D07609" w:rsidRPr="00D07609" w:rsidRDefault="00D07609" w:rsidP="00D07609">
      <w:pPr>
        <w:spacing w:after="0" w:line="240" w:lineRule="auto"/>
        <w:ind w:firstLine="360"/>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       1) социальная - поддержка отдельных категорий граждан, повышение качества жизни населения;</w:t>
      </w:r>
    </w:p>
    <w:p w14:paraId="4BF441C8" w14:textId="77777777" w:rsidR="00D07609" w:rsidRPr="00D07609" w:rsidRDefault="00D07609" w:rsidP="00D07609">
      <w:pPr>
        <w:spacing w:after="0" w:line="240" w:lineRule="auto"/>
        <w:ind w:firstLine="360"/>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       2) техническая (финансовая) - устранение/уменьшение встречных финансовых потоков, оптимизация бюджетных расходов.</w:t>
      </w:r>
    </w:p>
    <w:p w14:paraId="748C7D81" w14:textId="77777777" w:rsidR="00D07609" w:rsidRPr="00D07609" w:rsidRDefault="00D07609" w:rsidP="00D07609">
      <w:pPr>
        <w:spacing w:after="0" w:line="240" w:lineRule="auto"/>
        <w:ind w:firstLine="360"/>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Стимулирующие налоговые расходы отсутствуют.</w:t>
      </w:r>
    </w:p>
    <w:p w14:paraId="4CB7B4A0" w14:textId="77777777" w:rsidR="00D07609" w:rsidRPr="00D07609" w:rsidRDefault="00D07609" w:rsidP="00D07609">
      <w:pPr>
        <w:spacing w:after="0" w:line="240" w:lineRule="auto"/>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Для проведения оценки использовались данные о категориях налогоплательщиков, суммах выпадающих доходов и количестве налогоплательщиков, воспользовавшихся </w:t>
      </w:r>
      <w:r w:rsidRPr="00D07609">
        <w:rPr>
          <w:rFonts w:ascii="Times New Roman" w:hAnsi="Times New Roman" w:cs="Times New Roman"/>
          <w:color w:val="000000"/>
          <w:sz w:val="28"/>
          <w:szCs w:val="28"/>
          <w:shd w:val="clear" w:color="auto" w:fill="FFFFFF"/>
        </w:rPr>
        <w:lastRenderedPageBreak/>
        <w:t>льготами, предоставленными УФНС России по Новгородской области, а также использовались данные налоговой отчетности о налоговой базе и структуре начислений по местным налогам по получателям льгот (форма 5-МН).</w:t>
      </w:r>
    </w:p>
    <w:p w14:paraId="3E993438" w14:textId="77777777" w:rsidR="00D07609" w:rsidRPr="00D07609" w:rsidRDefault="00D07609" w:rsidP="00D07609">
      <w:pPr>
        <w:spacing w:after="0" w:line="276" w:lineRule="auto"/>
        <w:ind w:firstLine="567"/>
        <w:jc w:val="both"/>
        <w:rPr>
          <w:rFonts w:ascii="Times New Roman" w:eastAsia="Times New Roman" w:hAnsi="Times New Roman" w:cs="Times New Roman"/>
          <w:sz w:val="28"/>
          <w:szCs w:val="28"/>
          <w:lang w:eastAsia="ru-RU"/>
        </w:rPr>
      </w:pPr>
      <w:r w:rsidRPr="00D07609">
        <w:rPr>
          <w:rFonts w:ascii="Times New Roman" w:eastAsia="Times New Roman" w:hAnsi="Times New Roman" w:cs="Times New Roman"/>
          <w:sz w:val="28"/>
          <w:szCs w:val="28"/>
          <w:lang w:eastAsia="ru-RU"/>
        </w:rPr>
        <w:t>Информация о суммах предоставленных льгот и количестве налогоплательщиков, воспользовавшихся льготами, за 2022год представлена в таблице 1.</w:t>
      </w:r>
    </w:p>
    <w:p w14:paraId="167516DF" w14:textId="77777777" w:rsidR="00D07609" w:rsidRPr="00D07609" w:rsidRDefault="00D07609" w:rsidP="00D07609">
      <w:pPr>
        <w:spacing w:after="0" w:line="276" w:lineRule="auto"/>
        <w:ind w:firstLine="567"/>
        <w:jc w:val="right"/>
        <w:rPr>
          <w:rFonts w:ascii="Times New Roman" w:eastAsia="Times New Roman" w:hAnsi="Times New Roman" w:cs="Times New Roman"/>
          <w:sz w:val="24"/>
          <w:szCs w:val="24"/>
          <w:lang w:eastAsia="ru-RU"/>
        </w:rPr>
      </w:pPr>
      <w:r w:rsidRPr="00D07609">
        <w:rPr>
          <w:rFonts w:ascii="Times New Roman" w:eastAsia="Times New Roman" w:hAnsi="Times New Roman" w:cs="Times New Roman"/>
          <w:sz w:val="24"/>
          <w:szCs w:val="24"/>
          <w:lang w:eastAsia="ru-RU"/>
        </w:rPr>
        <w:t>Таблица 1.</w:t>
      </w:r>
    </w:p>
    <w:tbl>
      <w:tblPr>
        <w:tblW w:w="54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4481"/>
        <w:gridCol w:w="1396"/>
        <w:gridCol w:w="1546"/>
        <w:gridCol w:w="1853"/>
        <w:gridCol w:w="1465"/>
      </w:tblGrid>
      <w:tr w:rsidR="00D07609" w:rsidRPr="00D07609" w14:paraId="2F5C5CBF" w14:textId="77777777" w:rsidTr="00DC6658">
        <w:trPr>
          <w:trHeight w:val="654"/>
          <w:jc w:val="center"/>
        </w:trPr>
        <w:tc>
          <w:tcPr>
            <w:tcW w:w="206" w:type="pct"/>
            <w:shd w:val="clear" w:color="auto" w:fill="auto"/>
          </w:tcPr>
          <w:p w14:paraId="24FB2A47" w14:textId="77777777" w:rsidR="00D07609" w:rsidRPr="00D07609" w:rsidRDefault="00D07609" w:rsidP="00D07609">
            <w:pPr>
              <w:suppressAutoHyphens/>
              <w:spacing w:after="0" w:line="240" w:lineRule="auto"/>
              <w:jc w:val="center"/>
              <w:rPr>
                <w:rFonts w:ascii="Times New Roman" w:eastAsia="NSimSun" w:hAnsi="Times New Roman" w:cs="Times New Roman"/>
                <w:kern w:val="2"/>
                <w:sz w:val="20"/>
                <w:szCs w:val="20"/>
                <w:lang w:eastAsia="zh-CN" w:bidi="hi-IN"/>
              </w:rPr>
            </w:pPr>
            <w:r w:rsidRPr="00D07609">
              <w:rPr>
                <w:rFonts w:ascii="Times New Roman" w:eastAsia="NSimSun" w:hAnsi="Times New Roman" w:cs="Times New Roman"/>
                <w:sz w:val="20"/>
                <w:szCs w:val="20"/>
                <w:lang w:eastAsia="zh-CN"/>
              </w:rPr>
              <w:t>№</w:t>
            </w:r>
            <w:r w:rsidRPr="00D07609">
              <w:rPr>
                <w:rFonts w:ascii="Times New Roman" w:eastAsia="Times New Roman" w:hAnsi="Times New Roman" w:cs="Times New Roman"/>
                <w:sz w:val="20"/>
                <w:szCs w:val="20"/>
                <w:lang w:eastAsia="zh-CN"/>
              </w:rPr>
              <w:t xml:space="preserve"> </w:t>
            </w:r>
            <w:r w:rsidRPr="00D07609">
              <w:rPr>
                <w:rFonts w:ascii="Times New Roman" w:eastAsia="NSimSun" w:hAnsi="Times New Roman" w:cs="Times New Roman"/>
                <w:sz w:val="20"/>
                <w:szCs w:val="20"/>
                <w:lang w:eastAsia="zh-CN"/>
              </w:rPr>
              <w:t>п/п</w:t>
            </w:r>
          </w:p>
        </w:tc>
        <w:tc>
          <w:tcPr>
            <w:tcW w:w="2000" w:type="pct"/>
            <w:shd w:val="clear" w:color="auto" w:fill="auto"/>
          </w:tcPr>
          <w:p w14:paraId="5291A149" w14:textId="77777777" w:rsidR="00D07609" w:rsidRPr="00D07609" w:rsidRDefault="00D07609" w:rsidP="00D07609">
            <w:pPr>
              <w:suppressAutoHyphens/>
              <w:spacing w:after="0" w:line="240" w:lineRule="auto"/>
              <w:jc w:val="center"/>
              <w:rPr>
                <w:rFonts w:ascii="Times New Roman" w:eastAsia="NSimSun" w:hAnsi="Times New Roman" w:cs="Times New Roman"/>
                <w:kern w:val="2"/>
                <w:sz w:val="20"/>
                <w:szCs w:val="20"/>
                <w:lang w:eastAsia="zh-CN" w:bidi="hi-IN"/>
              </w:rPr>
            </w:pPr>
            <w:r w:rsidRPr="00D07609">
              <w:rPr>
                <w:rFonts w:ascii="Times New Roman" w:eastAsia="Times New Roman" w:hAnsi="Times New Roman" w:cs="Times New Roman"/>
                <w:sz w:val="20"/>
                <w:szCs w:val="20"/>
                <w:lang w:eastAsia="ru-RU"/>
              </w:rPr>
              <w:t>Категория налогоплательщиков</w:t>
            </w:r>
          </w:p>
        </w:tc>
        <w:tc>
          <w:tcPr>
            <w:tcW w:w="623" w:type="pct"/>
          </w:tcPr>
          <w:p w14:paraId="37E54FE7" w14:textId="77777777" w:rsidR="00D07609" w:rsidRPr="00D07609" w:rsidRDefault="00D07609" w:rsidP="00D07609">
            <w:pPr>
              <w:suppressAutoHyphens/>
              <w:spacing w:after="60" w:line="240" w:lineRule="auto"/>
              <w:jc w:val="both"/>
              <w:rPr>
                <w:rFonts w:ascii="Times New Roman" w:eastAsia="NSimSun" w:hAnsi="Times New Roman" w:cs="Times New Roman"/>
                <w:sz w:val="20"/>
                <w:szCs w:val="20"/>
                <w:lang w:eastAsia="zh-CN"/>
              </w:rPr>
            </w:pPr>
            <w:r w:rsidRPr="00D07609">
              <w:rPr>
                <w:rFonts w:ascii="Times New Roman" w:hAnsi="Times New Roman" w:cs="Times New Roman"/>
                <w:sz w:val="20"/>
                <w:szCs w:val="20"/>
              </w:rPr>
              <w:t>Наименование налога</w:t>
            </w:r>
          </w:p>
        </w:tc>
        <w:tc>
          <w:tcPr>
            <w:tcW w:w="690" w:type="pct"/>
          </w:tcPr>
          <w:p w14:paraId="73371759" w14:textId="77777777" w:rsidR="00D07609" w:rsidRPr="00D07609" w:rsidRDefault="00D07609" w:rsidP="00D07609">
            <w:pPr>
              <w:suppressAutoHyphens/>
              <w:spacing w:after="60" w:line="240" w:lineRule="auto"/>
              <w:jc w:val="both"/>
              <w:rPr>
                <w:rFonts w:ascii="Times New Roman" w:eastAsia="NSimSun" w:hAnsi="Times New Roman" w:cs="Times New Roman"/>
                <w:sz w:val="20"/>
                <w:szCs w:val="20"/>
                <w:lang w:eastAsia="zh-CN"/>
              </w:rPr>
            </w:pPr>
            <w:r w:rsidRPr="00D07609">
              <w:rPr>
                <w:rFonts w:ascii="Times New Roman" w:hAnsi="Times New Roman" w:cs="Times New Roman"/>
                <w:sz w:val="20"/>
                <w:szCs w:val="20"/>
              </w:rPr>
              <w:t>Целевая            категория</w:t>
            </w:r>
          </w:p>
        </w:tc>
        <w:tc>
          <w:tcPr>
            <w:tcW w:w="827" w:type="pct"/>
            <w:shd w:val="clear" w:color="auto" w:fill="auto"/>
          </w:tcPr>
          <w:p w14:paraId="2387A7A5" w14:textId="77777777" w:rsidR="00D07609" w:rsidRPr="00D07609" w:rsidRDefault="00D07609" w:rsidP="00D07609">
            <w:pPr>
              <w:suppressAutoHyphens/>
              <w:spacing w:after="0" w:line="240" w:lineRule="auto"/>
              <w:ind w:right="-57"/>
              <w:jc w:val="both"/>
              <w:rPr>
                <w:rFonts w:ascii="Times New Roman" w:eastAsia="NSimSun" w:hAnsi="Times New Roman" w:cs="Times New Roman"/>
                <w:kern w:val="2"/>
                <w:sz w:val="20"/>
                <w:szCs w:val="20"/>
                <w:lang w:eastAsia="zh-CN" w:bidi="hi-IN"/>
              </w:rPr>
            </w:pPr>
            <w:r w:rsidRPr="00D07609">
              <w:rPr>
                <w:rFonts w:ascii="Times New Roman" w:hAnsi="Times New Roman" w:cs="Times New Roman"/>
                <w:sz w:val="20"/>
                <w:szCs w:val="20"/>
              </w:rPr>
              <w:t xml:space="preserve">Количество </w:t>
            </w:r>
            <w:proofErr w:type="gramStart"/>
            <w:r w:rsidRPr="00D07609">
              <w:rPr>
                <w:rFonts w:ascii="Times New Roman" w:hAnsi="Times New Roman" w:cs="Times New Roman"/>
                <w:sz w:val="20"/>
                <w:szCs w:val="20"/>
              </w:rPr>
              <w:t xml:space="preserve">налогоплательщиков,   </w:t>
            </w:r>
            <w:proofErr w:type="gramEnd"/>
            <w:r w:rsidRPr="00D07609">
              <w:rPr>
                <w:rFonts w:ascii="Times New Roman" w:hAnsi="Times New Roman" w:cs="Times New Roman"/>
                <w:sz w:val="20"/>
                <w:szCs w:val="20"/>
              </w:rPr>
              <w:t xml:space="preserve">             воспользовавшихся льготами                      в 2022году, (ед.)</w:t>
            </w:r>
          </w:p>
        </w:tc>
        <w:tc>
          <w:tcPr>
            <w:tcW w:w="654" w:type="pct"/>
            <w:shd w:val="clear" w:color="auto" w:fill="auto"/>
          </w:tcPr>
          <w:p w14:paraId="26373797" w14:textId="77777777" w:rsidR="00D07609" w:rsidRPr="00D07609" w:rsidRDefault="00D07609" w:rsidP="00D07609">
            <w:pPr>
              <w:suppressAutoHyphens/>
              <w:spacing w:after="0" w:line="240" w:lineRule="auto"/>
              <w:ind w:right="-57"/>
              <w:jc w:val="both"/>
              <w:rPr>
                <w:rFonts w:ascii="Times New Roman" w:eastAsia="NSimSun" w:hAnsi="Times New Roman" w:cs="Times New Roman"/>
                <w:kern w:val="2"/>
                <w:sz w:val="20"/>
                <w:szCs w:val="20"/>
                <w:lang w:eastAsia="zh-CN" w:bidi="hi-IN"/>
              </w:rPr>
            </w:pPr>
            <w:r w:rsidRPr="00D07609">
              <w:rPr>
                <w:rFonts w:ascii="Times New Roman" w:hAnsi="Times New Roman" w:cs="Times New Roman"/>
                <w:sz w:val="20"/>
                <w:szCs w:val="20"/>
              </w:rPr>
              <w:t xml:space="preserve">Объем предоставленных налоговых </w:t>
            </w:r>
            <w:proofErr w:type="gramStart"/>
            <w:r w:rsidRPr="00D07609">
              <w:rPr>
                <w:rFonts w:ascii="Times New Roman" w:hAnsi="Times New Roman" w:cs="Times New Roman"/>
                <w:sz w:val="20"/>
                <w:szCs w:val="20"/>
              </w:rPr>
              <w:t>льгот  в</w:t>
            </w:r>
            <w:proofErr w:type="gramEnd"/>
            <w:r w:rsidRPr="00D07609">
              <w:rPr>
                <w:rFonts w:ascii="Times New Roman" w:hAnsi="Times New Roman" w:cs="Times New Roman"/>
                <w:sz w:val="20"/>
                <w:szCs w:val="20"/>
              </w:rPr>
              <w:t xml:space="preserve"> 2022 году, тыс. руб.</w:t>
            </w:r>
          </w:p>
        </w:tc>
      </w:tr>
      <w:tr w:rsidR="00D07609" w:rsidRPr="00D07609" w14:paraId="7C73D39C" w14:textId="77777777" w:rsidTr="00DC6658">
        <w:trPr>
          <w:trHeight w:val="196"/>
          <w:jc w:val="center"/>
        </w:trPr>
        <w:tc>
          <w:tcPr>
            <w:tcW w:w="206" w:type="pct"/>
            <w:shd w:val="clear" w:color="auto" w:fill="auto"/>
          </w:tcPr>
          <w:p w14:paraId="055ECA68"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1</w:t>
            </w:r>
          </w:p>
        </w:tc>
        <w:tc>
          <w:tcPr>
            <w:tcW w:w="2000" w:type="pct"/>
            <w:shd w:val="clear" w:color="auto" w:fill="auto"/>
          </w:tcPr>
          <w:p w14:paraId="2087A20B"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2</w:t>
            </w:r>
          </w:p>
        </w:tc>
        <w:tc>
          <w:tcPr>
            <w:tcW w:w="623" w:type="pct"/>
          </w:tcPr>
          <w:p w14:paraId="0E60448F"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p>
        </w:tc>
        <w:tc>
          <w:tcPr>
            <w:tcW w:w="690" w:type="pct"/>
          </w:tcPr>
          <w:p w14:paraId="1E32DD25"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p>
        </w:tc>
        <w:tc>
          <w:tcPr>
            <w:tcW w:w="827" w:type="pct"/>
            <w:shd w:val="clear" w:color="auto" w:fill="auto"/>
          </w:tcPr>
          <w:p w14:paraId="205A9AF4" w14:textId="77777777" w:rsidR="00D07609" w:rsidRPr="00D07609" w:rsidRDefault="00D07609" w:rsidP="00D07609">
            <w:pPr>
              <w:suppressAutoHyphens/>
              <w:spacing w:after="0" w:line="240" w:lineRule="auto"/>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5</w:t>
            </w:r>
          </w:p>
        </w:tc>
        <w:tc>
          <w:tcPr>
            <w:tcW w:w="654" w:type="pct"/>
            <w:shd w:val="clear" w:color="auto" w:fill="auto"/>
          </w:tcPr>
          <w:p w14:paraId="4EF73332"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6</w:t>
            </w:r>
          </w:p>
        </w:tc>
      </w:tr>
      <w:tr w:rsidR="00D07609" w:rsidRPr="00D07609" w14:paraId="2C22A284" w14:textId="77777777" w:rsidTr="00DC6658">
        <w:trPr>
          <w:trHeight w:val="799"/>
          <w:jc w:val="center"/>
        </w:trPr>
        <w:tc>
          <w:tcPr>
            <w:tcW w:w="206" w:type="pct"/>
            <w:shd w:val="clear" w:color="auto" w:fill="auto"/>
          </w:tcPr>
          <w:p w14:paraId="028A0EB2"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1</w:t>
            </w:r>
          </w:p>
        </w:tc>
        <w:tc>
          <w:tcPr>
            <w:tcW w:w="2000" w:type="pct"/>
            <w:shd w:val="clear" w:color="auto" w:fill="auto"/>
          </w:tcPr>
          <w:p w14:paraId="0562826F"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Налогоплательщикам, входящим в структуру органов местного самоуправления Бронницкого сельского поселения, обладающих правами юридического лица, в отношении земельных участков предоставленных для обеспечения их деятельности</w:t>
            </w:r>
          </w:p>
        </w:tc>
        <w:tc>
          <w:tcPr>
            <w:tcW w:w="623" w:type="pct"/>
          </w:tcPr>
          <w:p w14:paraId="2F327F8B"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Земельный налог</w:t>
            </w:r>
          </w:p>
        </w:tc>
        <w:tc>
          <w:tcPr>
            <w:tcW w:w="690" w:type="pct"/>
          </w:tcPr>
          <w:p w14:paraId="3F53D034"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Техническая (финансовая)</w:t>
            </w:r>
          </w:p>
        </w:tc>
        <w:tc>
          <w:tcPr>
            <w:tcW w:w="827" w:type="pct"/>
            <w:shd w:val="clear" w:color="auto" w:fill="auto"/>
          </w:tcPr>
          <w:p w14:paraId="0D6727E2" w14:textId="77777777" w:rsidR="00D07609" w:rsidRPr="00D07609" w:rsidRDefault="00D07609" w:rsidP="00D07609">
            <w:pPr>
              <w:suppressAutoHyphens/>
              <w:spacing w:after="0" w:line="240" w:lineRule="auto"/>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1</w:t>
            </w:r>
          </w:p>
        </w:tc>
        <w:tc>
          <w:tcPr>
            <w:tcW w:w="654" w:type="pct"/>
            <w:shd w:val="clear" w:color="auto" w:fill="auto"/>
          </w:tcPr>
          <w:p w14:paraId="4971C1BF"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193,0</w:t>
            </w:r>
          </w:p>
        </w:tc>
      </w:tr>
      <w:tr w:rsidR="00D07609" w:rsidRPr="00D07609" w14:paraId="222D2D8E" w14:textId="77777777" w:rsidTr="00DC6658">
        <w:trPr>
          <w:trHeight w:val="1205"/>
          <w:jc w:val="center"/>
        </w:trPr>
        <w:tc>
          <w:tcPr>
            <w:tcW w:w="206" w:type="pct"/>
            <w:shd w:val="clear" w:color="auto" w:fill="auto"/>
          </w:tcPr>
          <w:p w14:paraId="47C16B88"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2</w:t>
            </w:r>
          </w:p>
        </w:tc>
        <w:tc>
          <w:tcPr>
            <w:tcW w:w="2000" w:type="pct"/>
            <w:shd w:val="clear" w:color="auto" w:fill="auto"/>
          </w:tcPr>
          <w:p w14:paraId="6247287B"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Гражданам в возрасте восьмидесяти и более лет, которым предоставлены земельные участки для эксплуатации индивидуального жилого дома, при условии оформленной постоянной регистрации по месту жительства указанном жилом доме - в отношении земельного участка, предоставленного для эксплуатации жилого дома</w:t>
            </w:r>
          </w:p>
        </w:tc>
        <w:tc>
          <w:tcPr>
            <w:tcW w:w="623" w:type="pct"/>
          </w:tcPr>
          <w:p w14:paraId="5EE8DBFC"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Земельный налог</w:t>
            </w:r>
          </w:p>
        </w:tc>
        <w:tc>
          <w:tcPr>
            <w:tcW w:w="690" w:type="pct"/>
          </w:tcPr>
          <w:p w14:paraId="264C4291"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Социальная</w:t>
            </w:r>
          </w:p>
        </w:tc>
        <w:tc>
          <w:tcPr>
            <w:tcW w:w="827" w:type="pct"/>
            <w:shd w:val="clear" w:color="auto" w:fill="auto"/>
          </w:tcPr>
          <w:p w14:paraId="56A27D5B" w14:textId="77777777" w:rsidR="00D07609" w:rsidRPr="00D07609" w:rsidRDefault="00D07609" w:rsidP="00D07609">
            <w:pPr>
              <w:suppressAutoHyphens/>
              <w:spacing w:after="0" w:line="240" w:lineRule="auto"/>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18</w:t>
            </w:r>
          </w:p>
        </w:tc>
        <w:tc>
          <w:tcPr>
            <w:tcW w:w="654" w:type="pct"/>
            <w:shd w:val="clear" w:color="auto" w:fill="auto"/>
          </w:tcPr>
          <w:p w14:paraId="32AFED3E"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14,6</w:t>
            </w:r>
          </w:p>
        </w:tc>
      </w:tr>
      <w:tr w:rsidR="00D07609" w:rsidRPr="00D07609" w14:paraId="532A6242" w14:textId="77777777" w:rsidTr="00DC6658">
        <w:trPr>
          <w:trHeight w:val="1192"/>
          <w:jc w:val="center"/>
        </w:trPr>
        <w:tc>
          <w:tcPr>
            <w:tcW w:w="206" w:type="pct"/>
            <w:shd w:val="clear" w:color="auto" w:fill="auto"/>
          </w:tcPr>
          <w:p w14:paraId="3A3965BF"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3</w:t>
            </w:r>
          </w:p>
        </w:tc>
        <w:tc>
          <w:tcPr>
            <w:tcW w:w="2000" w:type="pct"/>
            <w:shd w:val="clear" w:color="auto" w:fill="auto"/>
          </w:tcPr>
          <w:p w14:paraId="47011CF7"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Бюджетным и (или) автономным учреждениям (организациям), предоставляющим (оказывающим) услуги, выполняющим работы в сферах образования, культуры и спорта (с 01.01.2023 РСД от 29.11.2022 №93), финансируемых из бюджета Новгородского муниципального района и бюджета Бронницкого сельского поселения</w:t>
            </w:r>
          </w:p>
        </w:tc>
        <w:tc>
          <w:tcPr>
            <w:tcW w:w="623" w:type="pct"/>
          </w:tcPr>
          <w:p w14:paraId="10C0FBA3"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Земельный налог</w:t>
            </w:r>
          </w:p>
        </w:tc>
        <w:tc>
          <w:tcPr>
            <w:tcW w:w="690" w:type="pct"/>
          </w:tcPr>
          <w:p w14:paraId="56824FC4"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Техническая (финансовая)</w:t>
            </w:r>
          </w:p>
        </w:tc>
        <w:tc>
          <w:tcPr>
            <w:tcW w:w="827" w:type="pct"/>
            <w:shd w:val="clear" w:color="auto" w:fill="auto"/>
          </w:tcPr>
          <w:p w14:paraId="603AEAD7" w14:textId="77777777" w:rsidR="00D07609" w:rsidRPr="00D07609" w:rsidRDefault="00D07609" w:rsidP="00D07609">
            <w:pPr>
              <w:suppressAutoHyphens/>
              <w:spacing w:after="0" w:line="240" w:lineRule="auto"/>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w:t>
            </w:r>
          </w:p>
        </w:tc>
        <w:tc>
          <w:tcPr>
            <w:tcW w:w="654" w:type="pct"/>
            <w:shd w:val="clear" w:color="auto" w:fill="auto"/>
          </w:tcPr>
          <w:p w14:paraId="4F5035BD"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w:t>
            </w:r>
          </w:p>
        </w:tc>
      </w:tr>
      <w:tr w:rsidR="00D07609" w:rsidRPr="00D07609" w14:paraId="774CC054" w14:textId="77777777" w:rsidTr="00DC6658">
        <w:trPr>
          <w:trHeight w:val="1205"/>
          <w:jc w:val="center"/>
        </w:trPr>
        <w:tc>
          <w:tcPr>
            <w:tcW w:w="206" w:type="pct"/>
            <w:shd w:val="clear" w:color="auto" w:fill="auto"/>
          </w:tcPr>
          <w:p w14:paraId="1C086C93"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4</w:t>
            </w:r>
          </w:p>
        </w:tc>
        <w:tc>
          <w:tcPr>
            <w:tcW w:w="2000" w:type="pct"/>
            <w:shd w:val="clear" w:color="auto" w:fill="auto"/>
          </w:tcPr>
          <w:p w14:paraId="0A39FAC7"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Медицинским организациям первичного звена 0здравоохранения, обладающих правами юридического лица, в отношении земельных участков, предоставленных для обеспечения их деятельности.</w:t>
            </w:r>
          </w:p>
        </w:tc>
        <w:tc>
          <w:tcPr>
            <w:tcW w:w="623" w:type="pct"/>
          </w:tcPr>
          <w:p w14:paraId="6D5660AF"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Земельный налог</w:t>
            </w:r>
          </w:p>
        </w:tc>
        <w:tc>
          <w:tcPr>
            <w:tcW w:w="690" w:type="pct"/>
          </w:tcPr>
          <w:p w14:paraId="25C802DA" w14:textId="77777777" w:rsidR="00D07609" w:rsidRPr="00D07609" w:rsidRDefault="00D07609" w:rsidP="00D07609">
            <w:pPr>
              <w:suppressAutoHyphens/>
              <w:spacing w:after="0" w:line="240" w:lineRule="auto"/>
              <w:jc w:val="both"/>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Техническая (финансовая)</w:t>
            </w:r>
          </w:p>
        </w:tc>
        <w:tc>
          <w:tcPr>
            <w:tcW w:w="827" w:type="pct"/>
            <w:shd w:val="clear" w:color="auto" w:fill="auto"/>
          </w:tcPr>
          <w:p w14:paraId="0522209E" w14:textId="77777777" w:rsidR="00D07609" w:rsidRPr="00D07609" w:rsidRDefault="00D07609" w:rsidP="00D07609">
            <w:pPr>
              <w:suppressAutoHyphens/>
              <w:spacing w:after="0" w:line="240" w:lineRule="auto"/>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w:t>
            </w:r>
          </w:p>
        </w:tc>
        <w:tc>
          <w:tcPr>
            <w:tcW w:w="654" w:type="pct"/>
            <w:shd w:val="clear" w:color="auto" w:fill="auto"/>
          </w:tcPr>
          <w:p w14:paraId="094A0274" w14:textId="77777777" w:rsidR="00D07609" w:rsidRPr="00D07609" w:rsidRDefault="00D07609" w:rsidP="00D07609">
            <w:pPr>
              <w:suppressAutoHyphens/>
              <w:spacing w:after="0" w:line="240" w:lineRule="auto"/>
              <w:jc w:val="center"/>
              <w:rPr>
                <w:rFonts w:ascii="Times New Roman" w:eastAsia="NSimSun" w:hAnsi="Times New Roman" w:cs="Times New Roman"/>
                <w:sz w:val="20"/>
                <w:szCs w:val="20"/>
                <w:lang w:eastAsia="zh-CN"/>
              </w:rPr>
            </w:pPr>
            <w:r w:rsidRPr="00D07609">
              <w:rPr>
                <w:rFonts w:ascii="Times New Roman" w:eastAsia="NSimSun" w:hAnsi="Times New Roman" w:cs="Times New Roman"/>
                <w:sz w:val="20"/>
                <w:szCs w:val="20"/>
                <w:lang w:eastAsia="zh-CN"/>
              </w:rPr>
              <w:t>-</w:t>
            </w:r>
          </w:p>
        </w:tc>
      </w:tr>
    </w:tbl>
    <w:p w14:paraId="567B4C74" w14:textId="77777777" w:rsidR="00D07609" w:rsidRPr="00D07609" w:rsidRDefault="00D07609" w:rsidP="00D07609">
      <w:pPr>
        <w:spacing w:after="0" w:line="240" w:lineRule="auto"/>
        <w:jc w:val="both"/>
        <w:rPr>
          <w:rFonts w:ascii="Times New Roman" w:hAnsi="Times New Roman" w:cs="Times New Roman"/>
          <w:sz w:val="28"/>
          <w:szCs w:val="28"/>
        </w:rPr>
      </w:pPr>
      <w:r w:rsidRPr="00D07609">
        <w:rPr>
          <w:rFonts w:ascii="Times New Roman" w:hAnsi="Times New Roman" w:cs="Times New Roman"/>
          <w:sz w:val="28"/>
          <w:szCs w:val="28"/>
        </w:rPr>
        <w:t xml:space="preserve"> ».</w:t>
      </w:r>
    </w:p>
    <w:p w14:paraId="5330D462" w14:textId="77777777" w:rsidR="00D07609" w:rsidRDefault="00D07609" w:rsidP="00D07609">
      <w:pPr>
        <w:numPr>
          <w:ilvl w:val="1"/>
          <w:numId w:val="7"/>
        </w:numPr>
        <w:spacing w:after="0" w:line="240" w:lineRule="auto"/>
        <w:contextualSpacing/>
        <w:jc w:val="both"/>
        <w:rPr>
          <w:rFonts w:ascii="Times New Roman" w:hAnsi="Times New Roman" w:cs="Times New Roman"/>
          <w:sz w:val="28"/>
          <w:szCs w:val="28"/>
        </w:rPr>
      </w:pPr>
      <w:r w:rsidRPr="00D07609">
        <w:rPr>
          <w:rFonts w:ascii="Times New Roman" w:hAnsi="Times New Roman" w:cs="Times New Roman"/>
          <w:sz w:val="28"/>
          <w:szCs w:val="28"/>
        </w:rPr>
        <w:t xml:space="preserve">Раздел 3 распоряжения изложить в следующей редакции: </w:t>
      </w:r>
    </w:p>
    <w:p w14:paraId="3AFCCF30" w14:textId="77777777" w:rsidR="00D07609" w:rsidRPr="00D07609" w:rsidRDefault="00D07609" w:rsidP="00D07609">
      <w:pPr>
        <w:spacing w:after="0" w:line="240" w:lineRule="auto"/>
        <w:ind w:left="360"/>
        <w:contextualSpacing/>
        <w:jc w:val="both"/>
        <w:rPr>
          <w:rFonts w:ascii="Times New Roman" w:hAnsi="Times New Roman" w:cs="Times New Roman"/>
          <w:sz w:val="28"/>
          <w:szCs w:val="28"/>
        </w:rPr>
      </w:pPr>
      <w:bookmarkStart w:id="0" w:name="_GoBack"/>
      <w:bookmarkEnd w:id="0"/>
    </w:p>
    <w:p w14:paraId="13509011" w14:textId="77777777" w:rsidR="00D07609" w:rsidRPr="00D07609" w:rsidRDefault="00D07609" w:rsidP="00D07609">
      <w:pPr>
        <w:spacing w:after="0" w:line="240" w:lineRule="auto"/>
        <w:ind w:left="360"/>
        <w:jc w:val="center"/>
        <w:rPr>
          <w:rFonts w:ascii="Times New Roman" w:hAnsi="Times New Roman" w:cs="Times New Roman"/>
          <w:sz w:val="28"/>
          <w:szCs w:val="28"/>
        </w:rPr>
      </w:pPr>
      <w:r w:rsidRPr="00D07609">
        <w:rPr>
          <w:rFonts w:ascii="Times New Roman" w:hAnsi="Times New Roman" w:cs="Times New Roman"/>
          <w:b/>
          <w:sz w:val="28"/>
          <w:szCs w:val="28"/>
        </w:rPr>
        <w:t>«3.</w:t>
      </w:r>
      <w:r w:rsidRPr="00D07609">
        <w:rPr>
          <w:rFonts w:ascii="Times New Roman" w:hAnsi="Times New Roman" w:cs="Times New Roman"/>
          <w:b/>
          <w:sz w:val="28"/>
          <w:szCs w:val="28"/>
        </w:rPr>
        <w:tab/>
        <w:t>Оценка бюджетной, экономической и социальной эффективности предоставленных налоговых льгот</w:t>
      </w:r>
      <w:r w:rsidRPr="00D07609">
        <w:rPr>
          <w:rFonts w:ascii="Times New Roman" w:hAnsi="Times New Roman" w:cs="Times New Roman"/>
          <w:sz w:val="28"/>
          <w:szCs w:val="28"/>
        </w:rPr>
        <w:t>.</w:t>
      </w:r>
    </w:p>
    <w:p w14:paraId="14B39533" w14:textId="77777777" w:rsidR="00D07609" w:rsidRPr="00D07609" w:rsidRDefault="00D07609" w:rsidP="00D07609">
      <w:pPr>
        <w:spacing w:after="0" w:line="240" w:lineRule="auto"/>
        <w:ind w:left="360"/>
        <w:jc w:val="center"/>
        <w:rPr>
          <w:rFonts w:ascii="Times New Roman" w:hAnsi="Times New Roman" w:cs="Times New Roman"/>
          <w:sz w:val="28"/>
          <w:szCs w:val="28"/>
        </w:rPr>
      </w:pPr>
    </w:p>
    <w:p w14:paraId="486F81C5" w14:textId="77777777" w:rsidR="00D07609" w:rsidRPr="00D07609" w:rsidRDefault="00D07609" w:rsidP="00D07609">
      <w:pPr>
        <w:ind w:firstLine="720"/>
        <w:jc w:val="center"/>
        <w:rPr>
          <w:b/>
          <w:i/>
          <w:sz w:val="28"/>
          <w:szCs w:val="28"/>
        </w:rPr>
      </w:pPr>
      <w:proofErr w:type="gramStart"/>
      <w:r w:rsidRPr="00D07609">
        <w:rPr>
          <w:b/>
          <w:i/>
          <w:sz w:val="28"/>
          <w:szCs w:val="28"/>
        </w:rPr>
        <w:t>3.1.Оценка  эффективности</w:t>
      </w:r>
      <w:proofErr w:type="gramEnd"/>
      <w:r w:rsidRPr="00D07609">
        <w:rPr>
          <w:b/>
          <w:i/>
          <w:sz w:val="28"/>
          <w:szCs w:val="28"/>
        </w:rPr>
        <w:t xml:space="preserve"> социальных налоговых расходов.</w:t>
      </w:r>
    </w:p>
    <w:p w14:paraId="78D23DE7" w14:textId="77777777" w:rsidR="00D07609" w:rsidRPr="00D07609" w:rsidRDefault="00D07609" w:rsidP="00D07609">
      <w:pPr>
        <w:spacing w:after="0" w:line="276" w:lineRule="auto"/>
        <w:ind w:firstLine="720"/>
        <w:rPr>
          <w:rFonts w:ascii="Times New Roman" w:eastAsia="Times New Roman" w:hAnsi="Times New Roman" w:cs="Times New Roman"/>
          <w:sz w:val="28"/>
          <w:szCs w:val="28"/>
          <w:lang w:eastAsia="ru-RU"/>
        </w:rPr>
      </w:pPr>
      <w:r w:rsidRPr="00D07609">
        <w:rPr>
          <w:rFonts w:ascii="Times New Roman" w:eastAsia="Times New Roman" w:hAnsi="Times New Roman" w:cs="Times New Roman"/>
          <w:sz w:val="28"/>
          <w:szCs w:val="28"/>
          <w:lang w:eastAsia="ru-RU"/>
        </w:rPr>
        <w:t>Цели предоставления налоговых расходов:</w:t>
      </w:r>
    </w:p>
    <w:p w14:paraId="349DB0DE" w14:textId="77777777" w:rsidR="00D07609" w:rsidRPr="00D07609" w:rsidRDefault="00D07609" w:rsidP="00D07609">
      <w:pPr>
        <w:shd w:val="clear" w:color="auto" w:fill="FFFFFF"/>
        <w:spacing w:after="0" w:line="240" w:lineRule="auto"/>
        <w:jc w:val="both"/>
        <w:rPr>
          <w:rFonts w:ascii="Times New Roman" w:eastAsia="Times New Roman" w:hAnsi="Times New Roman" w:cs="Times New Roman"/>
          <w:sz w:val="28"/>
          <w:szCs w:val="28"/>
          <w:lang w:eastAsia="ru-RU"/>
        </w:rPr>
      </w:pPr>
      <w:r w:rsidRPr="00D07609">
        <w:rPr>
          <w:rFonts w:ascii="Times New Roman" w:eastAsia="Times New Roman" w:hAnsi="Times New Roman" w:cs="Times New Roman"/>
          <w:sz w:val="28"/>
          <w:szCs w:val="28"/>
          <w:lang w:eastAsia="ru-RU"/>
        </w:rPr>
        <w:t xml:space="preserve">          -освобождение от уплаты налога с целью обеспечения социальной защиты (поддержки) отдельных категорий граждан, повышение уровня благосостояния и качества жизни жителей сельского поселения.</w:t>
      </w:r>
    </w:p>
    <w:p w14:paraId="2097087F" w14:textId="77777777" w:rsidR="00D07609" w:rsidRPr="00D07609" w:rsidRDefault="00D07609" w:rsidP="00D07609">
      <w:pPr>
        <w:spacing w:after="0" w:line="276" w:lineRule="auto"/>
        <w:ind w:firstLine="720"/>
        <w:jc w:val="both"/>
        <w:rPr>
          <w:rFonts w:ascii="Times New Roman" w:eastAsia="Times New Roman" w:hAnsi="Times New Roman" w:cs="Times New Roman"/>
          <w:sz w:val="28"/>
          <w:szCs w:val="28"/>
          <w:lang w:eastAsia="ru-RU"/>
        </w:rPr>
      </w:pPr>
      <w:r w:rsidRPr="00D07609">
        <w:rPr>
          <w:rFonts w:ascii="Times New Roman" w:eastAsia="Times New Roman" w:hAnsi="Times New Roman" w:cs="Times New Roman"/>
          <w:sz w:val="28"/>
          <w:szCs w:val="28"/>
          <w:lang w:eastAsia="ru-RU"/>
        </w:rPr>
        <w:lastRenderedPageBreak/>
        <w:t>-полное освобождение от уплаты налога с целью создания условий для развития институтов гражданского общества и реализации гражданских инициатив.</w:t>
      </w:r>
    </w:p>
    <w:p w14:paraId="5D2DAD6D" w14:textId="77777777" w:rsidR="00D07609" w:rsidRPr="00D07609" w:rsidRDefault="00D07609" w:rsidP="00D07609">
      <w:pPr>
        <w:spacing w:after="0" w:line="276" w:lineRule="auto"/>
        <w:ind w:firstLine="720"/>
        <w:jc w:val="both"/>
        <w:rPr>
          <w:rFonts w:ascii="Times New Roman" w:eastAsia="Times New Roman" w:hAnsi="Times New Roman" w:cs="Times New Roman"/>
          <w:sz w:val="28"/>
          <w:szCs w:val="28"/>
          <w:lang w:eastAsia="ru-RU"/>
        </w:rPr>
      </w:pPr>
      <w:r w:rsidRPr="00D07609">
        <w:rPr>
          <w:rFonts w:ascii="Times New Roman" w:eastAsia="Times New Roman" w:hAnsi="Times New Roman" w:cs="Times New Roman"/>
          <w:sz w:val="28"/>
          <w:szCs w:val="28"/>
          <w:lang w:eastAsia="ru-RU"/>
        </w:rPr>
        <w:t>Указанные цели носят социальный, значимый характер, направленный на поддержку граждан. Предоставленные налоговые расходы не оказывают отрицательного влияния на социально-экономическое развитие Бронницкого сельского поселения, а оказывают прямое влияние на реализацию мероприятий, направленных на достижение целей, закрепленных в социально-экономической политике Бронницкого сельского поселения, и следовательно, могут быть признаны соответствующими целям социально-экономической политики сельского поселения.</w:t>
      </w:r>
    </w:p>
    <w:p w14:paraId="3C631EC4"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Оценка эффективности социальных налоговых расходов включает:</w:t>
      </w:r>
    </w:p>
    <w:p w14:paraId="41A01BD2" w14:textId="77777777" w:rsidR="00D07609" w:rsidRPr="00D07609" w:rsidRDefault="00D07609" w:rsidP="00D07609">
      <w:pPr>
        <w:numPr>
          <w:ilvl w:val="0"/>
          <w:numId w:val="5"/>
        </w:numPr>
        <w:spacing w:after="0" w:line="240" w:lineRule="auto"/>
        <w:contextualSpacing/>
        <w:jc w:val="both"/>
        <w:rPr>
          <w:rFonts w:ascii="Times New Roman" w:hAnsi="Times New Roman" w:cs="Times New Roman"/>
          <w:color w:val="000000"/>
          <w:sz w:val="28"/>
          <w:szCs w:val="28"/>
          <w:shd w:val="clear" w:color="auto" w:fill="FFFFFF"/>
        </w:rPr>
      </w:pPr>
      <w:proofErr w:type="gramStart"/>
      <w:r w:rsidRPr="00D07609">
        <w:rPr>
          <w:rFonts w:ascii="Times New Roman" w:hAnsi="Times New Roman" w:cs="Times New Roman"/>
          <w:color w:val="000000"/>
          <w:sz w:val="28"/>
          <w:szCs w:val="28"/>
          <w:shd w:val="clear" w:color="auto" w:fill="FFFFFF"/>
        </w:rPr>
        <w:t>оценку</w:t>
      </w:r>
      <w:proofErr w:type="gramEnd"/>
      <w:r w:rsidRPr="00D07609">
        <w:rPr>
          <w:rFonts w:ascii="Times New Roman" w:hAnsi="Times New Roman" w:cs="Times New Roman"/>
          <w:color w:val="000000"/>
          <w:sz w:val="28"/>
          <w:szCs w:val="28"/>
          <w:shd w:val="clear" w:color="auto" w:fill="FFFFFF"/>
        </w:rPr>
        <w:t xml:space="preserve"> целесообразности налоговых расходов;</w:t>
      </w:r>
    </w:p>
    <w:p w14:paraId="3658203B" w14:textId="77777777" w:rsidR="00D07609" w:rsidRPr="00D07609" w:rsidRDefault="00D07609" w:rsidP="00D07609">
      <w:pPr>
        <w:numPr>
          <w:ilvl w:val="0"/>
          <w:numId w:val="5"/>
        </w:numPr>
        <w:spacing w:after="0" w:line="240" w:lineRule="auto"/>
        <w:contextualSpacing/>
        <w:jc w:val="both"/>
        <w:rPr>
          <w:rFonts w:ascii="Times New Roman" w:hAnsi="Times New Roman" w:cs="Times New Roman"/>
          <w:color w:val="000000"/>
          <w:sz w:val="28"/>
          <w:szCs w:val="28"/>
          <w:shd w:val="clear" w:color="auto" w:fill="FFFFFF"/>
        </w:rPr>
      </w:pPr>
      <w:proofErr w:type="gramStart"/>
      <w:r w:rsidRPr="00D07609">
        <w:rPr>
          <w:rFonts w:ascii="Times New Roman" w:hAnsi="Times New Roman" w:cs="Times New Roman"/>
          <w:color w:val="000000"/>
          <w:sz w:val="28"/>
          <w:szCs w:val="28"/>
          <w:shd w:val="clear" w:color="auto" w:fill="FFFFFF"/>
        </w:rPr>
        <w:t>оценку</w:t>
      </w:r>
      <w:proofErr w:type="gramEnd"/>
      <w:r w:rsidRPr="00D07609">
        <w:rPr>
          <w:rFonts w:ascii="Times New Roman" w:hAnsi="Times New Roman" w:cs="Times New Roman"/>
          <w:color w:val="000000"/>
          <w:sz w:val="28"/>
          <w:szCs w:val="28"/>
          <w:shd w:val="clear" w:color="auto" w:fill="FFFFFF"/>
        </w:rPr>
        <w:t xml:space="preserve"> результативности налоговых расходов. </w:t>
      </w:r>
    </w:p>
    <w:p w14:paraId="6DD94236"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Оценка целесообразности налоговых расходов осуществляется по критерию востребованности плательщиками предоставленных льгот.</w:t>
      </w:r>
    </w:p>
    <w:p w14:paraId="42CDF619"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14:paraId="7266E6E2" w14:textId="77777777" w:rsidR="00D07609" w:rsidRPr="00D07609" w:rsidRDefault="00D07609" w:rsidP="00D07609">
      <w:pPr>
        <w:spacing w:after="0" w:line="240" w:lineRule="auto"/>
        <w:ind w:firstLine="708"/>
        <w:jc w:val="both"/>
        <w:rPr>
          <w:rFonts w:ascii="Times New Roman" w:hAnsi="Times New Roman" w:cs="Times New Roman"/>
          <w:sz w:val="32"/>
          <w:szCs w:val="32"/>
        </w:rPr>
      </w:pPr>
      <w:r w:rsidRPr="00D07609">
        <w:rPr>
          <w:rFonts w:ascii="Times New Roman" w:hAnsi="Times New Roman" w:cs="Times New Roman"/>
          <w:color w:val="000000"/>
          <w:sz w:val="28"/>
          <w:szCs w:val="28"/>
          <w:shd w:val="clear" w:color="auto" w:fill="FFFFFF"/>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 По данным УФНС России по Новгородской области в 2022 году данной льготой воспользовались 18 плательщика налогов и сборов на сумму 14,6 тыс. рублей.</w:t>
      </w:r>
      <w:r w:rsidRPr="00D07609">
        <w:rPr>
          <w:rFonts w:ascii="Times New Roman" w:hAnsi="Times New Roman" w:cs="Times New Roman"/>
          <w:sz w:val="32"/>
          <w:szCs w:val="32"/>
        </w:rPr>
        <w:t xml:space="preserve"> </w:t>
      </w:r>
    </w:p>
    <w:p w14:paraId="70B46914"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Оценка результативности социальных налоговых льгот осуществляется путем расчета коэффициента социальной эффективности социальных налоговых льгот отдельно по каждому налогу. Социальная налоговая льгота предоставлена по земельному налогу.</w:t>
      </w:r>
    </w:p>
    <w:p w14:paraId="54302391"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 xml:space="preserve"> Расчет коэффициента социальной эффективности социальных налоговых льгот осуществляется по следующей формуле:</w:t>
      </w:r>
    </w:p>
    <w:p w14:paraId="55D162E4" w14:textId="77777777" w:rsidR="00D07609" w:rsidRPr="00D07609" w:rsidRDefault="00D07609" w:rsidP="00D07609">
      <w:pPr>
        <w:spacing w:after="0" w:line="240" w:lineRule="auto"/>
        <w:ind w:firstLine="708"/>
        <w:jc w:val="both"/>
        <w:rPr>
          <w:rFonts w:ascii="Times New Roman" w:hAnsi="Times New Roman" w:cs="Times New Roman"/>
          <w:sz w:val="28"/>
          <w:szCs w:val="28"/>
        </w:rPr>
      </w:pPr>
    </w:p>
    <w:p w14:paraId="5CCBB046" w14:textId="77777777" w:rsidR="00D07609" w:rsidRPr="00D07609" w:rsidRDefault="00D07609" w:rsidP="00D07609">
      <w:pPr>
        <w:spacing w:after="0" w:line="240" w:lineRule="auto"/>
        <w:ind w:firstLine="708"/>
        <w:jc w:val="center"/>
        <w:rPr>
          <w:rFonts w:ascii="Times New Roman" w:hAnsi="Times New Roman" w:cs="Times New Roman"/>
          <w:sz w:val="28"/>
          <w:szCs w:val="28"/>
        </w:rPr>
      </w:pPr>
      <w:r w:rsidRPr="00D07609">
        <w:rPr>
          <w:rFonts w:ascii="Times New Roman" w:hAnsi="Times New Roman" w:cs="Times New Roman"/>
          <w:noProof/>
          <w:sz w:val="28"/>
          <w:szCs w:val="28"/>
          <w:lang w:eastAsia="ru-RU"/>
        </w:rPr>
        <w:drawing>
          <wp:inline distT="0" distB="0" distL="0" distR="0" wp14:anchorId="1E1C4F24" wp14:editId="3F14D73E">
            <wp:extent cx="2038350" cy="457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457200"/>
                    </a:xfrm>
                    <a:prstGeom prst="rect">
                      <a:avLst/>
                    </a:prstGeom>
                    <a:noFill/>
                  </pic:spPr>
                </pic:pic>
              </a:graphicData>
            </a:graphic>
          </wp:inline>
        </w:drawing>
      </w:r>
    </w:p>
    <w:p w14:paraId="0D365968"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 xml:space="preserve"> </w:t>
      </w:r>
    </w:p>
    <w:p w14:paraId="79109470"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КСЭi</w:t>
      </w:r>
      <w:proofErr w:type="spellEnd"/>
      <w:r w:rsidRPr="00D07609">
        <w:rPr>
          <w:rFonts w:ascii="Times New Roman" w:hAnsi="Times New Roman" w:cs="Times New Roman"/>
          <w:sz w:val="28"/>
          <w:szCs w:val="28"/>
        </w:rPr>
        <w:t xml:space="preserve"> - коэффициент социальной эффективности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w:t>
      </w:r>
    </w:p>
    <w:p w14:paraId="0C1B8C98"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Снt</w:t>
      </w:r>
      <w:proofErr w:type="spellEnd"/>
      <w:r w:rsidRPr="00D07609">
        <w:rPr>
          <w:rFonts w:ascii="Times New Roman" w:hAnsi="Times New Roman" w:cs="Times New Roman"/>
          <w:sz w:val="28"/>
          <w:szCs w:val="28"/>
        </w:rPr>
        <w:t xml:space="preserve"> - объем предоставленных социальных налоговых льгот в расчете на одного получателя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за t период;</w:t>
      </w:r>
    </w:p>
    <w:p w14:paraId="17ED5918"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Снt-1 - объем предоставленных социальных налоговых льгот в расчете на одного получателя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за период, предшествующий t периоду;</w:t>
      </w:r>
    </w:p>
    <w:p w14:paraId="077FB834"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ВПМt</w:t>
      </w:r>
      <w:proofErr w:type="spellEnd"/>
      <w:r w:rsidRPr="00D07609">
        <w:rPr>
          <w:rFonts w:ascii="Times New Roman" w:hAnsi="Times New Roman" w:cs="Times New Roman"/>
          <w:sz w:val="28"/>
          <w:szCs w:val="28"/>
        </w:rPr>
        <w:t xml:space="preserve"> - среднегодовая величина прожиточного минимума на душу населения в Новгородской области за t период;</w:t>
      </w:r>
    </w:p>
    <w:p w14:paraId="49CA4522"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ВПМt-1 - среднегодовая величина прожиточного минимума на душу населения в Новгородской области за период, предшествующий t периоду.</w:t>
      </w:r>
    </w:p>
    <w:p w14:paraId="6FCB0390"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lastRenderedPageBreak/>
        <w:t>Результаты расчетов коэффициентов социальной эффективности социальных налоговых расходов вносятся в таблицу согласно приложению № 3 к настоящей Методике.</w:t>
      </w:r>
    </w:p>
    <w:p w14:paraId="5A549FD3"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 xml:space="preserve"> Объем предоставленных социальных налоговых льгот в расчете на одного получателя социальных налоговых льгот рассчитывается по следующим формулам: </w:t>
      </w:r>
      <w:r w:rsidRPr="00D07609">
        <w:rPr>
          <w:rFonts w:ascii="Times New Roman" w:hAnsi="Times New Roman" w:cs="Times New Roman"/>
          <w:noProof/>
          <w:sz w:val="28"/>
          <w:szCs w:val="28"/>
          <w:lang w:eastAsia="ru-RU"/>
        </w:rPr>
        <w:drawing>
          <wp:inline distT="0" distB="0" distL="0" distR="0" wp14:anchorId="1D924416" wp14:editId="0F4ABC50">
            <wp:extent cx="1926590" cy="457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6590" cy="457200"/>
                    </a:xfrm>
                    <a:prstGeom prst="rect">
                      <a:avLst/>
                    </a:prstGeom>
                    <a:noFill/>
                  </pic:spPr>
                </pic:pic>
              </a:graphicData>
            </a:graphic>
          </wp:inline>
        </w:drawing>
      </w:r>
    </w:p>
    <w:p w14:paraId="7B844CDF"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 xml:space="preserve"> </w:t>
      </w:r>
    </w:p>
    <w:p w14:paraId="1D860472"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Снt</w:t>
      </w:r>
      <w:proofErr w:type="spellEnd"/>
      <w:r w:rsidRPr="00D07609">
        <w:rPr>
          <w:rFonts w:ascii="Times New Roman" w:hAnsi="Times New Roman" w:cs="Times New Roman"/>
          <w:sz w:val="28"/>
          <w:szCs w:val="28"/>
        </w:rPr>
        <w:t xml:space="preserve"> - объем предоставленных социальных налоговых льгот в расчете на одного получателя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за t период;</w:t>
      </w:r>
    </w:p>
    <w:p w14:paraId="39653F97"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Снt-1 - объем предоставленных социальных налоговых льгот в расчете на одного получателя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за период, предшествующий t периоду;</w:t>
      </w:r>
    </w:p>
    <w:p w14:paraId="7C4543D7"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НПt</w:t>
      </w:r>
      <w:proofErr w:type="spellEnd"/>
      <w:r w:rsidRPr="00D07609">
        <w:rPr>
          <w:rFonts w:ascii="Times New Roman" w:hAnsi="Times New Roman" w:cs="Times New Roman"/>
          <w:sz w:val="28"/>
          <w:szCs w:val="28"/>
        </w:rPr>
        <w:t xml:space="preserve"> - объем предоставленных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w:t>
      </w:r>
    </w:p>
    <w:p w14:paraId="084893F5"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gramStart"/>
      <w:r w:rsidRPr="00D07609">
        <w:rPr>
          <w:rFonts w:ascii="Times New Roman" w:hAnsi="Times New Roman" w:cs="Times New Roman"/>
          <w:sz w:val="28"/>
          <w:szCs w:val="28"/>
        </w:rPr>
        <w:t>за</w:t>
      </w:r>
      <w:proofErr w:type="gramEnd"/>
      <w:r w:rsidRPr="00D07609">
        <w:rPr>
          <w:rFonts w:ascii="Times New Roman" w:hAnsi="Times New Roman" w:cs="Times New Roman"/>
          <w:sz w:val="28"/>
          <w:szCs w:val="28"/>
        </w:rPr>
        <w:t xml:space="preserve"> t период;</w:t>
      </w:r>
    </w:p>
    <w:p w14:paraId="6360D36D"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НПt-1 - объем предоставленных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w:t>
      </w:r>
    </w:p>
    <w:p w14:paraId="149BE9FF"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gramStart"/>
      <w:r w:rsidRPr="00D07609">
        <w:rPr>
          <w:rFonts w:ascii="Times New Roman" w:hAnsi="Times New Roman" w:cs="Times New Roman"/>
          <w:sz w:val="28"/>
          <w:szCs w:val="28"/>
        </w:rPr>
        <w:t>за</w:t>
      </w:r>
      <w:proofErr w:type="gramEnd"/>
      <w:r w:rsidRPr="00D07609">
        <w:rPr>
          <w:rFonts w:ascii="Times New Roman" w:hAnsi="Times New Roman" w:cs="Times New Roman"/>
          <w:sz w:val="28"/>
          <w:szCs w:val="28"/>
        </w:rPr>
        <w:t xml:space="preserve"> период, предшествующий t периоду;</w:t>
      </w:r>
    </w:p>
    <w:p w14:paraId="3C6C969B"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ЧПt</w:t>
      </w:r>
      <w:proofErr w:type="spellEnd"/>
      <w:r w:rsidRPr="00D07609">
        <w:rPr>
          <w:rFonts w:ascii="Times New Roman" w:hAnsi="Times New Roman" w:cs="Times New Roman"/>
          <w:sz w:val="28"/>
          <w:szCs w:val="28"/>
        </w:rPr>
        <w:t xml:space="preserve"> - количество получателей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w:t>
      </w:r>
    </w:p>
    <w:p w14:paraId="2CDA9047"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gramStart"/>
      <w:r w:rsidRPr="00D07609">
        <w:rPr>
          <w:rFonts w:ascii="Times New Roman" w:hAnsi="Times New Roman" w:cs="Times New Roman"/>
          <w:sz w:val="28"/>
          <w:szCs w:val="28"/>
        </w:rPr>
        <w:t>за</w:t>
      </w:r>
      <w:proofErr w:type="gramEnd"/>
      <w:r w:rsidRPr="00D07609">
        <w:rPr>
          <w:rFonts w:ascii="Times New Roman" w:hAnsi="Times New Roman" w:cs="Times New Roman"/>
          <w:sz w:val="28"/>
          <w:szCs w:val="28"/>
        </w:rPr>
        <w:t xml:space="preserve"> t период;</w:t>
      </w:r>
    </w:p>
    <w:p w14:paraId="57DDB0B5"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ЧПt-1 - количество получателей социальных налоговых льгот по i-</w:t>
      </w:r>
      <w:proofErr w:type="spellStart"/>
      <w:r w:rsidRPr="00D07609">
        <w:rPr>
          <w:rFonts w:ascii="Times New Roman" w:hAnsi="Times New Roman" w:cs="Times New Roman"/>
          <w:sz w:val="28"/>
          <w:szCs w:val="28"/>
        </w:rPr>
        <w:t>му</w:t>
      </w:r>
      <w:proofErr w:type="spellEnd"/>
      <w:r w:rsidRPr="00D07609">
        <w:rPr>
          <w:rFonts w:ascii="Times New Roman" w:hAnsi="Times New Roman" w:cs="Times New Roman"/>
          <w:sz w:val="28"/>
          <w:szCs w:val="28"/>
        </w:rPr>
        <w:t xml:space="preserve"> налогу за период, предшествующий t периоду.</w:t>
      </w:r>
    </w:p>
    <w:p w14:paraId="6ED10371" w14:textId="77777777" w:rsidR="00D07609" w:rsidRPr="00D07609" w:rsidRDefault="00D07609" w:rsidP="00D07609">
      <w:pPr>
        <w:spacing w:after="0" w:line="240" w:lineRule="auto"/>
        <w:ind w:firstLine="708"/>
        <w:jc w:val="both"/>
        <w:rPr>
          <w:rFonts w:ascii="Times New Roman" w:hAnsi="Times New Roman" w:cs="Times New Roman"/>
          <w:sz w:val="28"/>
          <w:szCs w:val="28"/>
        </w:rPr>
      </w:pPr>
    </w:p>
    <w:p w14:paraId="637DF145"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Снt</w:t>
      </w:r>
      <w:proofErr w:type="spellEnd"/>
      <w:r w:rsidRPr="00D07609">
        <w:rPr>
          <w:rFonts w:ascii="Times New Roman" w:hAnsi="Times New Roman" w:cs="Times New Roman"/>
          <w:sz w:val="28"/>
          <w:szCs w:val="28"/>
        </w:rPr>
        <w:t>=14600/18=811,11</w:t>
      </w:r>
    </w:p>
    <w:p w14:paraId="719DE192"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Снt-1=15100/20=755</w:t>
      </w:r>
    </w:p>
    <w:p w14:paraId="50E38165" w14:textId="77777777" w:rsidR="00D07609" w:rsidRPr="00D07609" w:rsidRDefault="00D07609" w:rsidP="00D07609">
      <w:pPr>
        <w:spacing w:after="0" w:line="240" w:lineRule="auto"/>
        <w:ind w:firstLine="708"/>
        <w:jc w:val="both"/>
        <w:rPr>
          <w:rFonts w:ascii="Times New Roman" w:hAnsi="Times New Roman" w:cs="Times New Roman"/>
          <w:sz w:val="28"/>
          <w:szCs w:val="28"/>
        </w:rPr>
      </w:pPr>
      <w:proofErr w:type="spellStart"/>
      <w:r w:rsidRPr="00D07609">
        <w:rPr>
          <w:rFonts w:ascii="Times New Roman" w:hAnsi="Times New Roman" w:cs="Times New Roman"/>
          <w:sz w:val="28"/>
          <w:szCs w:val="28"/>
        </w:rPr>
        <w:t>КСЭi</w:t>
      </w:r>
      <w:proofErr w:type="spellEnd"/>
      <w:r w:rsidRPr="00D07609">
        <w:rPr>
          <w:rFonts w:ascii="Times New Roman" w:hAnsi="Times New Roman" w:cs="Times New Roman"/>
          <w:sz w:val="28"/>
          <w:szCs w:val="28"/>
        </w:rPr>
        <w:t>=(811,11/</w:t>
      </w:r>
      <w:proofErr w:type="gramStart"/>
      <w:r w:rsidRPr="00D07609">
        <w:rPr>
          <w:rFonts w:ascii="Times New Roman" w:hAnsi="Times New Roman" w:cs="Times New Roman"/>
          <w:sz w:val="28"/>
          <w:szCs w:val="28"/>
        </w:rPr>
        <w:t>10277)/</w:t>
      </w:r>
      <w:proofErr w:type="gramEnd"/>
      <w:r w:rsidRPr="00D07609">
        <w:rPr>
          <w:rFonts w:ascii="Times New Roman" w:hAnsi="Times New Roman" w:cs="Times New Roman"/>
          <w:sz w:val="28"/>
          <w:szCs w:val="28"/>
        </w:rPr>
        <w:t>(755/10022)=1,04</w:t>
      </w:r>
    </w:p>
    <w:p w14:paraId="42E7D423" w14:textId="77777777" w:rsidR="00D07609" w:rsidRPr="00D07609" w:rsidRDefault="00D07609" w:rsidP="00D07609">
      <w:pPr>
        <w:spacing w:after="0" w:line="240" w:lineRule="auto"/>
        <w:ind w:firstLine="708"/>
        <w:jc w:val="both"/>
        <w:rPr>
          <w:rFonts w:ascii="Times New Roman" w:hAnsi="Times New Roman" w:cs="Times New Roman"/>
          <w:sz w:val="28"/>
          <w:szCs w:val="28"/>
        </w:rPr>
      </w:pPr>
    </w:p>
    <w:p w14:paraId="52C21164"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Значение коэффициента социальной эффективности социальных налоговых льгот составляет более 0,6, социальные налоговые льготы оцениваются как высокоэффективные.</w:t>
      </w:r>
    </w:p>
    <w:p w14:paraId="7A21F886" w14:textId="77777777" w:rsidR="00D07609" w:rsidRPr="00D07609" w:rsidRDefault="00D07609" w:rsidP="00D07609">
      <w:pPr>
        <w:spacing w:after="0" w:line="240" w:lineRule="auto"/>
        <w:ind w:firstLine="708"/>
        <w:jc w:val="both"/>
        <w:rPr>
          <w:rFonts w:ascii="Times New Roman" w:hAnsi="Times New Roman" w:cs="Times New Roman"/>
          <w:sz w:val="28"/>
          <w:szCs w:val="28"/>
        </w:rPr>
      </w:pPr>
    </w:p>
    <w:p w14:paraId="04482CA9" w14:textId="77777777" w:rsidR="00D07609" w:rsidRPr="00D07609" w:rsidRDefault="00D07609" w:rsidP="00D07609">
      <w:pPr>
        <w:spacing w:after="0" w:line="240" w:lineRule="auto"/>
        <w:ind w:firstLine="708"/>
        <w:jc w:val="both"/>
      </w:pPr>
      <w:r w:rsidRPr="00D07609">
        <w:rPr>
          <w:rFonts w:ascii="Times New Roman" w:hAnsi="Times New Roman" w:cs="Times New Roman"/>
          <w:sz w:val="28"/>
          <w:szCs w:val="28"/>
        </w:rPr>
        <w:t>Налоговые расходы, носящие социальный характер, направлены на поддержку отдельных категорий населения, отвечают общественным интересам, способствуют достижению целей социально-экономической политики Бронницкого сельского поселения по повышению уровня и качества жизни отдельных категорий граждан, являются востребованными, целесообразными, не оказывают отрицательного влияния на социально-экономическое развитие Бронницкого сельского поселения, их действие признано эффективным и целесообразно сохранить на 2023-2024 годы.</w:t>
      </w:r>
      <w:r w:rsidRPr="00D07609">
        <w:t xml:space="preserve"> </w:t>
      </w:r>
    </w:p>
    <w:p w14:paraId="5FE60C29" w14:textId="77777777" w:rsidR="00D07609" w:rsidRPr="00D07609" w:rsidRDefault="00D07609" w:rsidP="00D07609">
      <w:pPr>
        <w:spacing w:after="0" w:line="240" w:lineRule="auto"/>
        <w:ind w:firstLine="708"/>
        <w:jc w:val="both"/>
      </w:pPr>
    </w:p>
    <w:p w14:paraId="176D66A6" w14:textId="77777777" w:rsidR="00D07609" w:rsidRPr="00D07609" w:rsidRDefault="00D07609" w:rsidP="00D07609">
      <w:pPr>
        <w:ind w:firstLine="720"/>
        <w:jc w:val="center"/>
        <w:rPr>
          <w:b/>
          <w:i/>
          <w:sz w:val="28"/>
          <w:szCs w:val="28"/>
        </w:rPr>
      </w:pPr>
      <w:r w:rsidRPr="00D07609">
        <w:rPr>
          <w:b/>
          <w:i/>
          <w:sz w:val="28"/>
          <w:szCs w:val="28"/>
        </w:rPr>
        <w:t>3.2.Оценка эффективности технических(финансовых) налоговых расходов.</w:t>
      </w:r>
    </w:p>
    <w:p w14:paraId="5B07BB68" w14:textId="77777777" w:rsidR="00D07609" w:rsidRPr="00D07609" w:rsidRDefault="00D07609" w:rsidP="00D07609">
      <w:pPr>
        <w:ind w:firstLine="720"/>
        <w:jc w:val="both"/>
        <w:rPr>
          <w:rFonts w:ascii="Times New Roman" w:hAnsi="Times New Roman" w:cs="Times New Roman"/>
          <w:sz w:val="28"/>
          <w:szCs w:val="28"/>
        </w:rPr>
      </w:pPr>
      <w:r w:rsidRPr="00D07609">
        <w:rPr>
          <w:rFonts w:ascii="Times New Roman" w:hAnsi="Times New Roman" w:cs="Times New Roman"/>
          <w:sz w:val="28"/>
          <w:szCs w:val="28"/>
        </w:rPr>
        <w:t>Цель предоставления налогового расхода -  исключение встречных финансовых потоков, оптимизация бюджетных расходов.</w:t>
      </w:r>
    </w:p>
    <w:p w14:paraId="52AD5B19" w14:textId="77777777" w:rsidR="00D07609" w:rsidRPr="00D07609" w:rsidRDefault="00D07609" w:rsidP="00D07609">
      <w:pPr>
        <w:spacing w:line="276" w:lineRule="auto"/>
        <w:ind w:firstLine="567"/>
        <w:jc w:val="both"/>
        <w:rPr>
          <w:rFonts w:ascii="Times New Roman" w:hAnsi="Times New Roman" w:cs="Times New Roman"/>
          <w:sz w:val="28"/>
          <w:szCs w:val="28"/>
        </w:rPr>
      </w:pPr>
      <w:r w:rsidRPr="00D07609">
        <w:rPr>
          <w:rFonts w:ascii="Times New Roman" w:hAnsi="Times New Roman" w:cs="Times New Roman"/>
          <w:sz w:val="28"/>
          <w:szCs w:val="28"/>
        </w:rPr>
        <w:lastRenderedPageBreak/>
        <w:t xml:space="preserve">Цели налоговых расходов направлены на повышение качества управления муниципальными финансами, на реализацию мероприятий, направленных на достижение целей и задач, закрепленных социально-экономической политикой сельского поселения, следовательно признаются соответствующими целям социально-экономической политики Бронницкого сельского поселения. </w:t>
      </w:r>
    </w:p>
    <w:p w14:paraId="5F8CB183"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Оценка технических налоговых расходов:</w:t>
      </w:r>
    </w:p>
    <w:p w14:paraId="3382C9DB" w14:textId="77777777" w:rsidR="00D07609" w:rsidRPr="00D07609" w:rsidRDefault="00D07609" w:rsidP="00D07609">
      <w:pPr>
        <w:numPr>
          <w:ilvl w:val="0"/>
          <w:numId w:val="6"/>
        </w:numPr>
        <w:spacing w:after="0" w:line="240" w:lineRule="auto"/>
        <w:contextualSpacing/>
        <w:jc w:val="both"/>
        <w:rPr>
          <w:rFonts w:ascii="Times New Roman" w:hAnsi="Times New Roman" w:cs="Times New Roman"/>
          <w:color w:val="000000"/>
          <w:sz w:val="28"/>
          <w:szCs w:val="28"/>
          <w:shd w:val="clear" w:color="auto" w:fill="FFFFFF"/>
        </w:rPr>
      </w:pPr>
      <w:proofErr w:type="gramStart"/>
      <w:r w:rsidRPr="00D07609">
        <w:rPr>
          <w:rFonts w:ascii="Times New Roman" w:hAnsi="Times New Roman" w:cs="Times New Roman"/>
          <w:color w:val="000000"/>
          <w:sz w:val="28"/>
          <w:szCs w:val="28"/>
          <w:shd w:val="clear" w:color="auto" w:fill="FFFFFF"/>
        </w:rPr>
        <w:t>оценку</w:t>
      </w:r>
      <w:proofErr w:type="gramEnd"/>
      <w:r w:rsidRPr="00D07609">
        <w:rPr>
          <w:rFonts w:ascii="Times New Roman" w:hAnsi="Times New Roman" w:cs="Times New Roman"/>
          <w:color w:val="000000"/>
          <w:sz w:val="28"/>
          <w:szCs w:val="28"/>
          <w:shd w:val="clear" w:color="auto" w:fill="FFFFFF"/>
        </w:rPr>
        <w:t xml:space="preserve"> целесообразности налоговых расходов;</w:t>
      </w:r>
    </w:p>
    <w:p w14:paraId="3B86932D" w14:textId="77777777" w:rsidR="00D07609" w:rsidRPr="00D07609" w:rsidRDefault="00D07609" w:rsidP="00D07609">
      <w:pPr>
        <w:numPr>
          <w:ilvl w:val="0"/>
          <w:numId w:val="6"/>
        </w:numPr>
        <w:spacing w:after="0" w:line="240" w:lineRule="auto"/>
        <w:contextualSpacing/>
        <w:jc w:val="both"/>
        <w:rPr>
          <w:rFonts w:ascii="Times New Roman" w:hAnsi="Times New Roman" w:cs="Times New Roman"/>
          <w:color w:val="000000"/>
          <w:sz w:val="28"/>
          <w:szCs w:val="28"/>
          <w:shd w:val="clear" w:color="auto" w:fill="FFFFFF"/>
        </w:rPr>
      </w:pPr>
      <w:proofErr w:type="gramStart"/>
      <w:r w:rsidRPr="00D07609">
        <w:rPr>
          <w:rFonts w:ascii="Times New Roman" w:hAnsi="Times New Roman" w:cs="Times New Roman"/>
          <w:color w:val="000000"/>
          <w:sz w:val="28"/>
          <w:szCs w:val="28"/>
          <w:shd w:val="clear" w:color="auto" w:fill="FFFFFF"/>
        </w:rPr>
        <w:t>оценку</w:t>
      </w:r>
      <w:proofErr w:type="gramEnd"/>
      <w:r w:rsidRPr="00D07609">
        <w:rPr>
          <w:rFonts w:ascii="Times New Roman" w:hAnsi="Times New Roman" w:cs="Times New Roman"/>
          <w:color w:val="000000"/>
          <w:sz w:val="28"/>
          <w:szCs w:val="28"/>
          <w:shd w:val="clear" w:color="auto" w:fill="FFFFFF"/>
        </w:rPr>
        <w:t xml:space="preserve"> результативности налоговых расходов. </w:t>
      </w:r>
    </w:p>
    <w:p w14:paraId="34C8FD2A"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Оценка целесообразности налоговых расходов осуществляется по критерию востребованности плательщиками предоставленных льгот.</w:t>
      </w:r>
    </w:p>
    <w:p w14:paraId="1DA5099B"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Оценка востребованности плательщиками предоставленных налоговых расходов обусловлена фактическим количеством плательщиков, воспользовавшихся правом на налоговую льготу. </w:t>
      </w:r>
    </w:p>
    <w:p w14:paraId="5F6E2E83"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Пороговое значение показателя востребованности, при котором льгота, обуславливающая налоговый расход, считается востребованной, является фактическое наличие плательщиков, воспользовавшихся налоговой льготой.</w:t>
      </w:r>
    </w:p>
    <w:p w14:paraId="20FB4211"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Данной льготой по данным УФНС России по Новгородской области в 2022 году воспользовался 1 налогоплательщик. </w:t>
      </w:r>
    </w:p>
    <w:p w14:paraId="62223DEC"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Льгота востребована, что говорит о ее целесообразности.</w:t>
      </w:r>
    </w:p>
    <w:p w14:paraId="56AE65F8"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Оценку результативности налоговых расходов (допускается не проводить для технических налоговых расходов (п.15 (1) Постановления Правительства РФ от 22.06.2019 N 796)</w:t>
      </w:r>
    </w:p>
    <w:p w14:paraId="7B8AAFC2"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В отношении технических (финансовых) налоговых расходов, предоставленных органом местного самоуправления, оценка проводилась путем определения бюджетной эффективности.</w:t>
      </w:r>
    </w:p>
    <w:p w14:paraId="1285AF6C"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 xml:space="preserve">Оценка бюджетной эффективности технических (финансовых) налоговых расходов рассчитана по формуле: </w:t>
      </w:r>
    </w:p>
    <w:p w14:paraId="2DA78526" w14:textId="77777777" w:rsidR="00D07609" w:rsidRPr="00D07609" w:rsidRDefault="00D07609" w:rsidP="00D07609">
      <w:pPr>
        <w:spacing w:after="0" w:line="240" w:lineRule="auto"/>
        <w:ind w:firstLine="708"/>
        <w:jc w:val="center"/>
        <w:rPr>
          <w:rFonts w:ascii="Times New Roman" w:hAnsi="Times New Roman" w:cs="Times New Roman"/>
          <w:color w:val="000000"/>
          <w:sz w:val="28"/>
          <w:szCs w:val="28"/>
          <w:shd w:val="clear" w:color="auto" w:fill="FFFFFF"/>
        </w:rPr>
      </w:pPr>
      <w:proofErr w:type="spellStart"/>
      <w:r w:rsidRPr="00D07609">
        <w:rPr>
          <w:rFonts w:ascii="Times New Roman" w:hAnsi="Times New Roman" w:cs="Times New Roman"/>
          <w:color w:val="000000"/>
          <w:sz w:val="28"/>
          <w:szCs w:val="28"/>
          <w:shd w:val="clear" w:color="auto" w:fill="FFFFFF"/>
        </w:rPr>
        <w:t>Кэф</w:t>
      </w:r>
      <w:proofErr w:type="spellEnd"/>
      <w:r w:rsidRPr="00D07609">
        <w:rPr>
          <w:rFonts w:ascii="Times New Roman" w:hAnsi="Times New Roman" w:cs="Times New Roman"/>
          <w:color w:val="000000"/>
          <w:sz w:val="28"/>
          <w:szCs w:val="28"/>
          <w:shd w:val="clear" w:color="auto" w:fill="FFFFFF"/>
        </w:rPr>
        <w:t xml:space="preserve"> = СР / СД, где:</w:t>
      </w:r>
    </w:p>
    <w:p w14:paraId="0EABBE27"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proofErr w:type="spellStart"/>
      <w:r w:rsidRPr="00D07609">
        <w:rPr>
          <w:rFonts w:ascii="Times New Roman" w:hAnsi="Times New Roman" w:cs="Times New Roman"/>
          <w:color w:val="000000"/>
          <w:sz w:val="28"/>
          <w:szCs w:val="28"/>
          <w:shd w:val="clear" w:color="auto" w:fill="FFFFFF"/>
        </w:rPr>
        <w:t>Кэф</w:t>
      </w:r>
      <w:proofErr w:type="spellEnd"/>
      <w:r w:rsidRPr="00D07609">
        <w:rPr>
          <w:rFonts w:ascii="Times New Roman" w:hAnsi="Times New Roman" w:cs="Times New Roman"/>
          <w:color w:val="000000"/>
          <w:sz w:val="28"/>
          <w:szCs w:val="28"/>
          <w:shd w:val="clear" w:color="auto" w:fill="FFFFFF"/>
        </w:rPr>
        <w:t>- коэффициент бюджетной эффективности технических (финансовых) налоговых расходов;</w:t>
      </w:r>
    </w:p>
    <w:p w14:paraId="6DAA8C3F"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СР - снижение расходов бюджета Бронницкого сельского поселения в налоговом периоде в результате применения налоговых расходов;</w:t>
      </w:r>
    </w:p>
    <w:p w14:paraId="42D341ED"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t>СД - снижение доходов бюджета Бронницкого сельского поселения в налоговом периоде в результате применения налоговых расходов.</w:t>
      </w:r>
    </w:p>
    <w:p w14:paraId="3D94F072"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proofErr w:type="spellStart"/>
      <w:r w:rsidRPr="00D07609">
        <w:rPr>
          <w:rFonts w:ascii="Times New Roman" w:hAnsi="Times New Roman" w:cs="Times New Roman"/>
          <w:color w:val="000000"/>
          <w:sz w:val="28"/>
          <w:szCs w:val="28"/>
          <w:shd w:val="clear" w:color="auto" w:fill="FFFFFF"/>
        </w:rPr>
        <w:t>Кэф</w:t>
      </w:r>
      <w:proofErr w:type="spellEnd"/>
      <w:r w:rsidRPr="00D07609">
        <w:rPr>
          <w:rFonts w:ascii="Times New Roman" w:hAnsi="Times New Roman" w:cs="Times New Roman"/>
          <w:color w:val="000000"/>
          <w:sz w:val="28"/>
          <w:szCs w:val="28"/>
          <w:shd w:val="clear" w:color="auto" w:fill="FFFFFF"/>
        </w:rPr>
        <w:t xml:space="preserve"> =193/193=1</w:t>
      </w:r>
    </w:p>
    <w:p w14:paraId="15D92CF8"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proofErr w:type="spellStart"/>
      <w:r w:rsidRPr="00D07609">
        <w:rPr>
          <w:rFonts w:ascii="Times New Roman" w:hAnsi="Times New Roman" w:cs="Times New Roman"/>
          <w:color w:val="000000"/>
          <w:sz w:val="28"/>
          <w:szCs w:val="28"/>
          <w:shd w:val="clear" w:color="auto" w:fill="FFFFFF"/>
        </w:rPr>
        <w:t>Кэф</w:t>
      </w:r>
      <w:proofErr w:type="spellEnd"/>
      <w:r w:rsidRPr="00D07609">
        <w:rPr>
          <w:rFonts w:ascii="Times New Roman" w:hAnsi="Times New Roman" w:cs="Times New Roman"/>
          <w:color w:val="000000"/>
          <w:sz w:val="28"/>
          <w:szCs w:val="28"/>
          <w:shd w:val="clear" w:color="auto" w:fill="FFFFFF"/>
        </w:rPr>
        <w:t xml:space="preserve">   равен или больше единице признается эффективным.</w:t>
      </w:r>
    </w:p>
    <w:p w14:paraId="479EDA9E" w14:textId="77777777" w:rsidR="00D07609" w:rsidRPr="00D07609" w:rsidRDefault="00D07609" w:rsidP="00D07609">
      <w:pPr>
        <w:spacing w:after="0" w:line="240" w:lineRule="auto"/>
        <w:ind w:firstLine="708"/>
        <w:jc w:val="both"/>
        <w:rPr>
          <w:rFonts w:ascii="Times New Roman" w:hAnsi="Times New Roman" w:cs="Times New Roman"/>
          <w:color w:val="000000"/>
          <w:sz w:val="28"/>
          <w:szCs w:val="28"/>
          <w:shd w:val="clear" w:color="auto" w:fill="FFFFFF"/>
        </w:rPr>
      </w:pPr>
    </w:p>
    <w:p w14:paraId="3435C5E7" w14:textId="77777777" w:rsidR="00D07609" w:rsidRPr="00D07609" w:rsidRDefault="00D07609" w:rsidP="00D07609">
      <w:pPr>
        <w:spacing w:after="0" w:line="240" w:lineRule="auto"/>
        <w:jc w:val="both"/>
        <w:rPr>
          <w:rFonts w:ascii="Times New Roman" w:hAnsi="Times New Roman" w:cs="Times New Roman"/>
          <w:sz w:val="28"/>
          <w:szCs w:val="28"/>
        </w:rPr>
      </w:pPr>
      <w:r w:rsidRPr="00D07609">
        <w:rPr>
          <w:rFonts w:ascii="Times New Roman" w:hAnsi="Times New Roman" w:cs="Times New Roman"/>
          <w:sz w:val="28"/>
          <w:szCs w:val="28"/>
        </w:rPr>
        <w:tab/>
        <w:t>Предоставление данного вида льгот имеет бюджетный эффект, в связи с тем, что исключаются встречные финансовые потоки в бюджет поселения. Технический (финансовый) налоговый расход по итогам оценки результативности признан эффективным.</w:t>
      </w:r>
    </w:p>
    <w:p w14:paraId="0DF5F4FB" w14:textId="77777777" w:rsidR="00D07609" w:rsidRPr="00D07609" w:rsidRDefault="00D07609" w:rsidP="00D07609">
      <w:pPr>
        <w:spacing w:after="0" w:line="240" w:lineRule="auto"/>
        <w:ind w:left="792"/>
        <w:contextualSpacing/>
        <w:jc w:val="both"/>
        <w:rPr>
          <w:rFonts w:ascii="Times New Roman" w:hAnsi="Times New Roman" w:cs="Times New Roman"/>
          <w:sz w:val="28"/>
          <w:szCs w:val="28"/>
        </w:rPr>
      </w:pPr>
    </w:p>
    <w:p w14:paraId="2FC3EE4B" w14:textId="77777777" w:rsidR="00D07609" w:rsidRPr="00D07609" w:rsidRDefault="00D07609" w:rsidP="00D07609">
      <w:pPr>
        <w:spacing w:after="0" w:line="240" w:lineRule="auto"/>
        <w:ind w:firstLine="360"/>
        <w:jc w:val="both"/>
        <w:rPr>
          <w:rFonts w:ascii="Times New Roman" w:hAnsi="Times New Roman" w:cs="Times New Roman"/>
          <w:color w:val="000000"/>
          <w:sz w:val="28"/>
          <w:szCs w:val="28"/>
          <w:shd w:val="clear" w:color="auto" w:fill="FFFFFF"/>
        </w:rPr>
      </w:pPr>
    </w:p>
    <w:p w14:paraId="0A997410" w14:textId="77777777" w:rsidR="00D07609" w:rsidRPr="00D07609" w:rsidRDefault="00D07609" w:rsidP="00D07609">
      <w:pPr>
        <w:spacing w:after="0" w:line="276" w:lineRule="auto"/>
        <w:ind w:firstLine="709"/>
        <w:jc w:val="both"/>
        <w:rPr>
          <w:rFonts w:ascii="Times New Roman" w:hAnsi="Times New Roman" w:cs="Times New Roman"/>
          <w:color w:val="000000"/>
          <w:sz w:val="28"/>
          <w:szCs w:val="28"/>
          <w:shd w:val="clear" w:color="auto" w:fill="FFFFFF"/>
        </w:rPr>
      </w:pPr>
      <w:r w:rsidRPr="00D07609">
        <w:rPr>
          <w:rFonts w:ascii="Times New Roman" w:hAnsi="Times New Roman" w:cs="Times New Roman"/>
          <w:color w:val="000000"/>
          <w:sz w:val="28"/>
          <w:szCs w:val="28"/>
          <w:shd w:val="clear" w:color="auto" w:fill="FFFFFF"/>
        </w:rPr>
        <w:lastRenderedPageBreak/>
        <w:t>1.2. Дополнить распоряжение разделом «Вывод» следующего содержания:</w:t>
      </w:r>
    </w:p>
    <w:p w14:paraId="3C0641DC" w14:textId="77777777" w:rsidR="00D07609" w:rsidRPr="00D07609" w:rsidRDefault="00D07609" w:rsidP="00D07609">
      <w:pPr>
        <w:spacing w:after="0" w:line="240" w:lineRule="auto"/>
        <w:ind w:firstLine="360"/>
        <w:jc w:val="center"/>
        <w:rPr>
          <w:rFonts w:ascii="Times New Roman" w:hAnsi="Times New Roman" w:cs="Times New Roman"/>
          <w:b/>
          <w:sz w:val="28"/>
          <w:szCs w:val="28"/>
        </w:rPr>
      </w:pPr>
      <w:r w:rsidRPr="00D07609">
        <w:rPr>
          <w:rFonts w:ascii="Times New Roman" w:hAnsi="Times New Roman" w:cs="Times New Roman"/>
          <w:sz w:val="28"/>
          <w:szCs w:val="28"/>
        </w:rPr>
        <w:t>«</w:t>
      </w:r>
      <w:r w:rsidRPr="00D07609">
        <w:rPr>
          <w:rFonts w:ascii="Times New Roman" w:hAnsi="Times New Roman" w:cs="Times New Roman"/>
          <w:b/>
          <w:sz w:val="28"/>
          <w:szCs w:val="28"/>
        </w:rPr>
        <w:t>Вывод.</w:t>
      </w:r>
    </w:p>
    <w:p w14:paraId="571969AA" w14:textId="77777777" w:rsidR="00D07609" w:rsidRPr="00D07609" w:rsidRDefault="00D07609" w:rsidP="00D07609">
      <w:pPr>
        <w:spacing w:after="0" w:line="240" w:lineRule="auto"/>
        <w:ind w:firstLine="360"/>
        <w:jc w:val="both"/>
        <w:rPr>
          <w:rFonts w:ascii="Times New Roman" w:hAnsi="Times New Roman" w:cs="Times New Roman"/>
          <w:sz w:val="28"/>
          <w:szCs w:val="28"/>
        </w:rPr>
      </w:pPr>
      <w:r w:rsidRPr="00D07609">
        <w:rPr>
          <w:rFonts w:ascii="Times New Roman" w:hAnsi="Times New Roman" w:cs="Times New Roman"/>
          <w:sz w:val="28"/>
          <w:szCs w:val="28"/>
        </w:rPr>
        <w:t>По итогам оценки эффективности налоговых расходов установлено:</w:t>
      </w:r>
    </w:p>
    <w:p w14:paraId="04F7894F" w14:textId="77777777" w:rsidR="00D07609" w:rsidRPr="00D07609" w:rsidRDefault="00D07609" w:rsidP="00D07609">
      <w:pPr>
        <w:spacing w:after="0" w:line="240" w:lineRule="auto"/>
        <w:ind w:firstLine="360"/>
        <w:jc w:val="both"/>
        <w:rPr>
          <w:rFonts w:ascii="Times New Roman" w:hAnsi="Times New Roman" w:cs="Times New Roman"/>
          <w:sz w:val="28"/>
          <w:szCs w:val="28"/>
        </w:rPr>
      </w:pPr>
      <w:r w:rsidRPr="00D07609">
        <w:rPr>
          <w:rFonts w:ascii="Times New Roman" w:hAnsi="Times New Roman" w:cs="Times New Roman"/>
          <w:sz w:val="28"/>
          <w:szCs w:val="28"/>
        </w:rPr>
        <w:t>Все предоставленные налоговые расходы признаны эффективными.</w:t>
      </w:r>
    </w:p>
    <w:p w14:paraId="275B5A6B" w14:textId="77777777" w:rsidR="00D07609" w:rsidRPr="00D07609" w:rsidRDefault="00D07609" w:rsidP="00D07609">
      <w:pPr>
        <w:spacing w:after="0" w:line="240" w:lineRule="auto"/>
        <w:ind w:firstLine="360"/>
        <w:jc w:val="both"/>
        <w:rPr>
          <w:rFonts w:ascii="Times New Roman" w:hAnsi="Times New Roman" w:cs="Times New Roman"/>
          <w:sz w:val="28"/>
          <w:szCs w:val="28"/>
        </w:rPr>
      </w:pPr>
      <w:r w:rsidRPr="00D07609">
        <w:rPr>
          <w:rFonts w:ascii="Times New Roman" w:hAnsi="Times New Roman" w:cs="Times New Roman"/>
          <w:sz w:val="28"/>
          <w:szCs w:val="28"/>
        </w:rPr>
        <w:t>Муниципальной поддержкой в виде налоговых расходов воспользовались 19 налогоплательщиков – 1 юридическое лицо по техническим налоговым расходам и 18 физических лиц по социальным налоговым расходам относящихся к земельному налогу.</w:t>
      </w:r>
    </w:p>
    <w:p w14:paraId="76A86F9E" w14:textId="77777777" w:rsidR="00D07609" w:rsidRPr="00D07609" w:rsidRDefault="00D07609" w:rsidP="00D07609">
      <w:pPr>
        <w:spacing w:after="0" w:line="240" w:lineRule="auto"/>
        <w:ind w:firstLine="360"/>
        <w:jc w:val="both"/>
        <w:rPr>
          <w:rFonts w:ascii="Times New Roman" w:hAnsi="Times New Roman" w:cs="Times New Roman"/>
          <w:sz w:val="28"/>
          <w:szCs w:val="28"/>
        </w:rPr>
      </w:pPr>
      <w:r w:rsidRPr="00D07609">
        <w:rPr>
          <w:rFonts w:ascii="Times New Roman" w:hAnsi="Times New Roman" w:cs="Times New Roman"/>
          <w:sz w:val="28"/>
          <w:szCs w:val="28"/>
        </w:rPr>
        <w:t>Налоговые расходы являются дополнительной мерой поддержки для отдельных категорий налогоплательщиков. Социальные налоговые расходы необходимы для обеспечения социальной защиты населения, технические налоговые расходы уменьшают затраты налогоплательщиков, воспользовавшихся льготами, которые финансируются за счет местного бюджета.</w:t>
      </w:r>
    </w:p>
    <w:p w14:paraId="36CEFBCE" w14:textId="77777777" w:rsidR="00D07609" w:rsidRPr="00D07609" w:rsidRDefault="00D07609" w:rsidP="00D07609">
      <w:pPr>
        <w:spacing w:after="0" w:line="240" w:lineRule="auto"/>
        <w:ind w:firstLine="360"/>
        <w:jc w:val="both"/>
        <w:rPr>
          <w:rFonts w:ascii="Times New Roman" w:hAnsi="Times New Roman" w:cs="Times New Roman"/>
          <w:sz w:val="28"/>
          <w:szCs w:val="28"/>
        </w:rPr>
      </w:pPr>
      <w:r w:rsidRPr="00D07609">
        <w:rPr>
          <w:rFonts w:ascii="Times New Roman" w:hAnsi="Times New Roman" w:cs="Times New Roman"/>
          <w:sz w:val="28"/>
          <w:szCs w:val="28"/>
        </w:rPr>
        <w:t>На основании результатов оценки эффективности налоговых расходов при формировании основных направлений налоговой и бюджетной политики Бронницкого сельского поселения предлагается установленные налоговые расходы сохранить на 2023-2024 годы. Куратору налогового расхода рекомендуется расширить осведомленность о возможности заявления на налоговую льготу.»</w:t>
      </w:r>
    </w:p>
    <w:p w14:paraId="3D9EEDF8" w14:textId="77777777" w:rsidR="00D07609" w:rsidRPr="00D07609" w:rsidRDefault="00D07609" w:rsidP="00D07609">
      <w:pPr>
        <w:spacing w:after="0" w:line="240" w:lineRule="auto"/>
        <w:ind w:firstLine="360"/>
        <w:jc w:val="both"/>
        <w:rPr>
          <w:rFonts w:ascii="Times New Roman" w:hAnsi="Times New Roman" w:cs="Times New Roman"/>
          <w:sz w:val="28"/>
          <w:szCs w:val="28"/>
        </w:rPr>
      </w:pPr>
    </w:p>
    <w:p w14:paraId="151C1EA9" w14:textId="77777777" w:rsidR="00D07609" w:rsidRPr="00D07609" w:rsidRDefault="00D07609" w:rsidP="00D07609">
      <w:pPr>
        <w:spacing w:after="0" w:line="240" w:lineRule="auto"/>
        <w:ind w:firstLine="708"/>
        <w:jc w:val="both"/>
        <w:rPr>
          <w:rFonts w:ascii="Times New Roman" w:hAnsi="Times New Roman" w:cs="Times New Roman"/>
          <w:sz w:val="28"/>
          <w:szCs w:val="28"/>
        </w:rPr>
      </w:pPr>
      <w:r w:rsidRPr="00D07609">
        <w:rPr>
          <w:rFonts w:ascii="Times New Roman" w:hAnsi="Times New Roman" w:cs="Times New Roman"/>
          <w:sz w:val="28"/>
          <w:szCs w:val="28"/>
        </w:rPr>
        <w:t xml:space="preserve">2. Опубликовать настоящее распоряжение в газете «Официальный вестник Бронницкого сельского поселения» и разместить на официальном сайте в информационно-телекоммуникационной сети «Интернет» по адресу: </w:t>
      </w:r>
      <w:hyperlink r:id="rId9" w:history="1">
        <w:r w:rsidRPr="00D07609">
          <w:rPr>
            <w:rFonts w:ascii="Times New Roman" w:hAnsi="Times New Roman" w:cs="Times New Roman"/>
            <w:color w:val="0563C1" w:themeColor="hyperlink"/>
            <w:sz w:val="28"/>
            <w:szCs w:val="28"/>
            <w:u w:val="single"/>
            <w:lang w:val="en-US"/>
          </w:rPr>
          <w:t>www</w:t>
        </w:r>
        <w:r w:rsidRPr="00D07609">
          <w:rPr>
            <w:rFonts w:ascii="Times New Roman" w:hAnsi="Times New Roman" w:cs="Times New Roman"/>
            <w:color w:val="0563C1" w:themeColor="hyperlink"/>
            <w:sz w:val="28"/>
            <w:szCs w:val="28"/>
            <w:u w:val="single"/>
          </w:rPr>
          <w:t>.</w:t>
        </w:r>
        <w:proofErr w:type="spellStart"/>
        <w:r w:rsidRPr="00D07609">
          <w:rPr>
            <w:rFonts w:ascii="Times New Roman" w:hAnsi="Times New Roman" w:cs="Times New Roman"/>
            <w:color w:val="0563C1" w:themeColor="hyperlink"/>
            <w:sz w:val="28"/>
            <w:szCs w:val="28"/>
            <w:u w:val="single"/>
            <w:lang w:val="en-US"/>
          </w:rPr>
          <w:t>bronnicaadm</w:t>
        </w:r>
        <w:proofErr w:type="spellEnd"/>
        <w:r w:rsidRPr="00D07609">
          <w:rPr>
            <w:rFonts w:ascii="Times New Roman" w:hAnsi="Times New Roman" w:cs="Times New Roman"/>
            <w:color w:val="0563C1" w:themeColor="hyperlink"/>
            <w:sz w:val="28"/>
            <w:szCs w:val="28"/>
            <w:u w:val="single"/>
          </w:rPr>
          <w:t>.</w:t>
        </w:r>
        <w:r w:rsidRPr="00D07609">
          <w:rPr>
            <w:rFonts w:ascii="Times New Roman" w:hAnsi="Times New Roman" w:cs="Times New Roman"/>
            <w:color w:val="0563C1" w:themeColor="hyperlink"/>
            <w:sz w:val="28"/>
            <w:szCs w:val="28"/>
            <w:u w:val="single"/>
            <w:lang w:val="en-US"/>
          </w:rPr>
          <w:t>ru</w:t>
        </w:r>
      </w:hyperlink>
      <w:r w:rsidRPr="00D07609">
        <w:rPr>
          <w:rFonts w:ascii="Times New Roman" w:hAnsi="Times New Roman" w:cs="Times New Roman"/>
          <w:sz w:val="28"/>
          <w:szCs w:val="28"/>
        </w:rPr>
        <w:t xml:space="preserve"> в разделе «Документы».</w:t>
      </w:r>
    </w:p>
    <w:p w14:paraId="72D0EB85" w14:textId="77777777" w:rsidR="00D07609" w:rsidRPr="00D07609" w:rsidRDefault="00D07609" w:rsidP="00D07609">
      <w:pPr>
        <w:spacing w:after="0" w:line="240" w:lineRule="auto"/>
        <w:jc w:val="both"/>
        <w:rPr>
          <w:rFonts w:ascii="Times New Roman" w:hAnsi="Times New Roman" w:cs="Times New Roman"/>
          <w:sz w:val="28"/>
          <w:szCs w:val="28"/>
        </w:rPr>
      </w:pPr>
    </w:p>
    <w:p w14:paraId="53E83B03" w14:textId="77777777" w:rsidR="00D07609" w:rsidRPr="00D07609" w:rsidRDefault="00D07609" w:rsidP="00D07609">
      <w:pPr>
        <w:spacing w:after="0" w:line="240" w:lineRule="auto"/>
        <w:jc w:val="both"/>
        <w:rPr>
          <w:rFonts w:ascii="Times New Roman" w:hAnsi="Times New Roman" w:cs="Times New Roman"/>
          <w:sz w:val="28"/>
          <w:szCs w:val="28"/>
        </w:rPr>
      </w:pPr>
    </w:p>
    <w:p w14:paraId="0F2CB8EF" w14:textId="77777777" w:rsidR="00D07609" w:rsidRPr="00D07609" w:rsidRDefault="00D07609" w:rsidP="00D07609">
      <w:pPr>
        <w:spacing w:after="0" w:line="240" w:lineRule="auto"/>
        <w:jc w:val="both"/>
        <w:rPr>
          <w:rFonts w:ascii="Times New Roman" w:hAnsi="Times New Roman" w:cs="Times New Roman"/>
          <w:sz w:val="28"/>
          <w:szCs w:val="28"/>
        </w:rPr>
      </w:pPr>
      <w:r w:rsidRPr="00D07609">
        <w:rPr>
          <w:rFonts w:ascii="Times New Roman" w:hAnsi="Times New Roman" w:cs="Times New Roman"/>
          <w:sz w:val="28"/>
          <w:szCs w:val="28"/>
        </w:rPr>
        <w:t>Глава Бронницкого сельского поселения                                            С.Г. Васильева</w:t>
      </w:r>
    </w:p>
    <w:p w14:paraId="41BF704E" w14:textId="77777777" w:rsidR="00D07609" w:rsidRPr="00D07609" w:rsidRDefault="00D07609" w:rsidP="00D07609">
      <w:pPr>
        <w:spacing w:after="0"/>
        <w:jc w:val="right"/>
        <w:rPr>
          <w:rFonts w:ascii="Times New Roman" w:hAnsi="Times New Roman" w:cs="Times New Roman"/>
          <w:sz w:val="28"/>
          <w:szCs w:val="28"/>
        </w:rPr>
      </w:pPr>
    </w:p>
    <w:p w14:paraId="6844451D" w14:textId="77777777" w:rsidR="00D07609" w:rsidRPr="00D07609" w:rsidRDefault="00D07609" w:rsidP="00D07609">
      <w:pPr>
        <w:spacing w:after="0" w:line="240" w:lineRule="auto"/>
        <w:jc w:val="both"/>
        <w:rPr>
          <w:rFonts w:ascii="Times New Roman" w:hAnsi="Times New Roman" w:cs="Times New Roman"/>
          <w:sz w:val="28"/>
          <w:szCs w:val="28"/>
        </w:rPr>
      </w:pPr>
    </w:p>
    <w:p w14:paraId="6E164FD2" w14:textId="77777777" w:rsidR="007B5A04" w:rsidRDefault="007B5A04" w:rsidP="00D07609">
      <w:pPr>
        <w:spacing w:after="0"/>
        <w:ind w:right="5809"/>
        <w:jc w:val="both"/>
        <w:rPr>
          <w:rFonts w:ascii="Times New Roman" w:hAnsi="Times New Roman" w:cs="Times New Roman"/>
          <w:sz w:val="28"/>
          <w:szCs w:val="28"/>
        </w:rPr>
      </w:pPr>
    </w:p>
    <w:sectPr w:rsidR="007B5A04" w:rsidSect="00D07609">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F47848"/>
    <w:multiLevelType w:val="multilevel"/>
    <w:tmpl w:val="AE30E5E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nsid w:val="22BD57E0"/>
    <w:multiLevelType w:val="hybridMultilevel"/>
    <w:tmpl w:val="6EDAFC62"/>
    <w:lvl w:ilvl="0" w:tplc="970AEF50">
      <w:start w:val="1"/>
      <w:numFmt w:val="decimal"/>
      <w:lvlText w:val="%1."/>
      <w:lvlJc w:val="left"/>
      <w:pPr>
        <w:ind w:left="1638" w:hanging="465"/>
      </w:pPr>
      <w:rPr>
        <w:rFonts w:hint="default"/>
      </w:rPr>
    </w:lvl>
    <w:lvl w:ilvl="1" w:tplc="04190019" w:tentative="1">
      <w:start w:val="1"/>
      <w:numFmt w:val="lowerLetter"/>
      <w:lvlText w:val="%2."/>
      <w:lvlJc w:val="left"/>
      <w:pPr>
        <w:ind w:left="2253" w:hanging="360"/>
      </w:pPr>
    </w:lvl>
    <w:lvl w:ilvl="2" w:tplc="0419001B" w:tentative="1">
      <w:start w:val="1"/>
      <w:numFmt w:val="lowerRoman"/>
      <w:lvlText w:val="%3."/>
      <w:lvlJc w:val="right"/>
      <w:pPr>
        <w:ind w:left="2973" w:hanging="180"/>
      </w:pPr>
    </w:lvl>
    <w:lvl w:ilvl="3" w:tplc="0419000F" w:tentative="1">
      <w:start w:val="1"/>
      <w:numFmt w:val="decimal"/>
      <w:lvlText w:val="%4."/>
      <w:lvlJc w:val="left"/>
      <w:pPr>
        <w:ind w:left="3693" w:hanging="360"/>
      </w:pPr>
    </w:lvl>
    <w:lvl w:ilvl="4" w:tplc="04190019" w:tentative="1">
      <w:start w:val="1"/>
      <w:numFmt w:val="lowerLetter"/>
      <w:lvlText w:val="%5."/>
      <w:lvlJc w:val="left"/>
      <w:pPr>
        <w:ind w:left="4413" w:hanging="360"/>
      </w:pPr>
    </w:lvl>
    <w:lvl w:ilvl="5" w:tplc="0419001B" w:tentative="1">
      <w:start w:val="1"/>
      <w:numFmt w:val="lowerRoman"/>
      <w:lvlText w:val="%6."/>
      <w:lvlJc w:val="right"/>
      <w:pPr>
        <w:ind w:left="5133" w:hanging="180"/>
      </w:pPr>
    </w:lvl>
    <w:lvl w:ilvl="6" w:tplc="0419000F" w:tentative="1">
      <w:start w:val="1"/>
      <w:numFmt w:val="decimal"/>
      <w:lvlText w:val="%7."/>
      <w:lvlJc w:val="left"/>
      <w:pPr>
        <w:ind w:left="5853" w:hanging="360"/>
      </w:pPr>
    </w:lvl>
    <w:lvl w:ilvl="7" w:tplc="04190019" w:tentative="1">
      <w:start w:val="1"/>
      <w:numFmt w:val="lowerLetter"/>
      <w:lvlText w:val="%8."/>
      <w:lvlJc w:val="left"/>
      <w:pPr>
        <w:ind w:left="6573" w:hanging="360"/>
      </w:pPr>
    </w:lvl>
    <w:lvl w:ilvl="8" w:tplc="0419001B" w:tentative="1">
      <w:start w:val="1"/>
      <w:numFmt w:val="lowerRoman"/>
      <w:lvlText w:val="%9."/>
      <w:lvlJc w:val="right"/>
      <w:pPr>
        <w:ind w:left="7293" w:hanging="180"/>
      </w:pPr>
    </w:lvl>
  </w:abstractNum>
  <w:abstractNum w:abstractNumId="2">
    <w:nsid w:val="2E8E383A"/>
    <w:multiLevelType w:val="multilevel"/>
    <w:tmpl w:val="DE08725C"/>
    <w:lvl w:ilvl="0">
      <w:start w:val="1"/>
      <w:numFmt w:val="decimal"/>
      <w:lvlText w:val="%1."/>
      <w:lvlJc w:val="left"/>
      <w:pPr>
        <w:ind w:left="660" w:hanging="360"/>
      </w:pPr>
      <w:rPr>
        <w:rFonts w:hint="default"/>
      </w:rPr>
    </w:lvl>
    <w:lvl w:ilvl="1">
      <w:start w:val="3"/>
      <w:numFmt w:val="decimal"/>
      <w:isLgl/>
      <w:lvlText w:val="%1.%2."/>
      <w:lvlJc w:val="left"/>
      <w:pPr>
        <w:ind w:left="2385" w:hanging="720"/>
      </w:pPr>
      <w:rPr>
        <w:rFonts w:hint="default"/>
      </w:rPr>
    </w:lvl>
    <w:lvl w:ilvl="2">
      <w:start w:val="1"/>
      <w:numFmt w:val="decimal"/>
      <w:isLgl/>
      <w:lvlText w:val="%1.%2.%3."/>
      <w:lvlJc w:val="left"/>
      <w:pPr>
        <w:ind w:left="3750" w:hanging="720"/>
      </w:pPr>
      <w:rPr>
        <w:rFonts w:hint="default"/>
      </w:rPr>
    </w:lvl>
    <w:lvl w:ilvl="3">
      <w:start w:val="1"/>
      <w:numFmt w:val="decimal"/>
      <w:isLgl/>
      <w:lvlText w:val="%1.%2.%3.%4."/>
      <w:lvlJc w:val="left"/>
      <w:pPr>
        <w:ind w:left="5475" w:hanging="108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565" w:hanging="1440"/>
      </w:pPr>
      <w:rPr>
        <w:rFonts w:hint="default"/>
      </w:rPr>
    </w:lvl>
    <w:lvl w:ilvl="6">
      <w:start w:val="1"/>
      <w:numFmt w:val="decimal"/>
      <w:isLgl/>
      <w:lvlText w:val="%1.%2.%3.%4.%5.%6.%7."/>
      <w:lvlJc w:val="left"/>
      <w:pPr>
        <w:ind w:left="10290" w:hanging="1800"/>
      </w:pPr>
      <w:rPr>
        <w:rFonts w:hint="default"/>
      </w:rPr>
    </w:lvl>
    <w:lvl w:ilvl="7">
      <w:start w:val="1"/>
      <w:numFmt w:val="decimal"/>
      <w:isLgl/>
      <w:lvlText w:val="%1.%2.%3.%4.%5.%6.%7.%8."/>
      <w:lvlJc w:val="left"/>
      <w:pPr>
        <w:ind w:left="11655" w:hanging="1800"/>
      </w:pPr>
      <w:rPr>
        <w:rFonts w:hint="default"/>
      </w:rPr>
    </w:lvl>
    <w:lvl w:ilvl="8">
      <w:start w:val="1"/>
      <w:numFmt w:val="decimal"/>
      <w:isLgl/>
      <w:lvlText w:val="%1.%2.%3.%4.%5.%6.%7.%8.%9."/>
      <w:lvlJc w:val="left"/>
      <w:pPr>
        <w:ind w:left="13380" w:hanging="2160"/>
      </w:pPr>
      <w:rPr>
        <w:rFonts w:hint="default"/>
      </w:rPr>
    </w:lvl>
  </w:abstractNum>
  <w:abstractNum w:abstractNumId="3">
    <w:nsid w:val="310559E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C956BBB"/>
    <w:multiLevelType w:val="hybridMultilevel"/>
    <w:tmpl w:val="4726FEE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47066E8A"/>
    <w:multiLevelType w:val="hybridMultilevel"/>
    <w:tmpl w:val="0ACEE01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64A72CD7"/>
    <w:multiLevelType w:val="hybridMultilevel"/>
    <w:tmpl w:val="E62807E4"/>
    <w:lvl w:ilvl="0" w:tplc="90F2FC4E">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0"/>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A9"/>
    <w:rsid w:val="000051BA"/>
    <w:rsid w:val="000328DF"/>
    <w:rsid w:val="00056243"/>
    <w:rsid w:val="00070851"/>
    <w:rsid w:val="00085D1F"/>
    <w:rsid w:val="000D124C"/>
    <w:rsid w:val="000D685A"/>
    <w:rsid w:val="00123AFD"/>
    <w:rsid w:val="00145B51"/>
    <w:rsid w:val="0016110D"/>
    <w:rsid w:val="0016705E"/>
    <w:rsid w:val="00167C8E"/>
    <w:rsid w:val="001A221C"/>
    <w:rsid w:val="001C69B5"/>
    <w:rsid w:val="00211166"/>
    <w:rsid w:val="0022433D"/>
    <w:rsid w:val="002308DF"/>
    <w:rsid w:val="00230D5B"/>
    <w:rsid w:val="00261E65"/>
    <w:rsid w:val="00277621"/>
    <w:rsid w:val="00282ADB"/>
    <w:rsid w:val="00293C4F"/>
    <w:rsid w:val="002D161B"/>
    <w:rsid w:val="002F0427"/>
    <w:rsid w:val="00304966"/>
    <w:rsid w:val="00321055"/>
    <w:rsid w:val="003230FE"/>
    <w:rsid w:val="00356BD2"/>
    <w:rsid w:val="00366F58"/>
    <w:rsid w:val="003869BB"/>
    <w:rsid w:val="003C4E81"/>
    <w:rsid w:val="00410FA9"/>
    <w:rsid w:val="004414DB"/>
    <w:rsid w:val="004551C9"/>
    <w:rsid w:val="00465055"/>
    <w:rsid w:val="00484F0E"/>
    <w:rsid w:val="004A49E0"/>
    <w:rsid w:val="0050423F"/>
    <w:rsid w:val="00526050"/>
    <w:rsid w:val="00534F6B"/>
    <w:rsid w:val="005618DC"/>
    <w:rsid w:val="0056338C"/>
    <w:rsid w:val="005A3CBA"/>
    <w:rsid w:val="005C5A7E"/>
    <w:rsid w:val="005D1A85"/>
    <w:rsid w:val="00606177"/>
    <w:rsid w:val="006074BC"/>
    <w:rsid w:val="0065234D"/>
    <w:rsid w:val="006C154D"/>
    <w:rsid w:val="006C744B"/>
    <w:rsid w:val="00706B4E"/>
    <w:rsid w:val="007428B5"/>
    <w:rsid w:val="007620BF"/>
    <w:rsid w:val="00776774"/>
    <w:rsid w:val="007876EA"/>
    <w:rsid w:val="00791E8D"/>
    <w:rsid w:val="007A1DEB"/>
    <w:rsid w:val="007B5A04"/>
    <w:rsid w:val="007C40FC"/>
    <w:rsid w:val="007D5204"/>
    <w:rsid w:val="007E0B2F"/>
    <w:rsid w:val="008365D2"/>
    <w:rsid w:val="008726A9"/>
    <w:rsid w:val="00877F2D"/>
    <w:rsid w:val="008801E7"/>
    <w:rsid w:val="008859EC"/>
    <w:rsid w:val="008970F8"/>
    <w:rsid w:val="008E3DC3"/>
    <w:rsid w:val="008F26C9"/>
    <w:rsid w:val="008F4AED"/>
    <w:rsid w:val="009173CE"/>
    <w:rsid w:val="00937822"/>
    <w:rsid w:val="009B75B7"/>
    <w:rsid w:val="009C7518"/>
    <w:rsid w:val="009F0E26"/>
    <w:rsid w:val="009F1062"/>
    <w:rsid w:val="00A0115C"/>
    <w:rsid w:val="00A35BAA"/>
    <w:rsid w:val="00A627DF"/>
    <w:rsid w:val="00A643B3"/>
    <w:rsid w:val="00A674E1"/>
    <w:rsid w:val="00A93A9D"/>
    <w:rsid w:val="00AA5706"/>
    <w:rsid w:val="00AB7F9B"/>
    <w:rsid w:val="00AD26BA"/>
    <w:rsid w:val="00AF4564"/>
    <w:rsid w:val="00AF4C54"/>
    <w:rsid w:val="00B00014"/>
    <w:rsid w:val="00B8016D"/>
    <w:rsid w:val="00B85C04"/>
    <w:rsid w:val="00BA0F7D"/>
    <w:rsid w:val="00BB6653"/>
    <w:rsid w:val="00BD2ACB"/>
    <w:rsid w:val="00BE01BD"/>
    <w:rsid w:val="00C03770"/>
    <w:rsid w:val="00C47046"/>
    <w:rsid w:val="00C51EB0"/>
    <w:rsid w:val="00C63037"/>
    <w:rsid w:val="00CC3862"/>
    <w:rsid w:val="00CE50C3"/>
    <w:rsid w:val="00CE6203"/>
    <w:rsid w:val="00D07609"/>
    <w:rsid w:val="00D24E30"/>
    <w:rsid w:val="00D4132F"/>
    <w:rsid w:val="00D4683E"/>
    <w:rsid w:val="00D5416F"/>
    <w:rsid w:val="00D6331C"/>
    <w:rsid w:val="00DC6FFB"/>
    <w:rsid w:val="00DF6D70"/>
    <w:rsid w:val="00EB52E4"/>
    <w:rsid w:val="00ED13C6"/>
    <w:rsid w:val="00EF2FD3"/>
    <w:rsid w:val="00F1161E"/>
    <w:rsid w:val="00F2118B"/>
    <w:rsid w:val="00F21D9B"/>
    <w:rsid w:val="00F33544"/>
    <w:rsid w:val="00F37911"/>
    <w:rsid w:val="00F46647"/>
    <w:rsid w:val="00F574FA"/>
    <w:rsid w:val="00F86B4E"/>
    <w:rsid w:val="00FA0C0B"/>
    <w:rsid w:val="00FD5266"/>
    <w:rsid w:val="00FF25EC"/>
    <w:rsid w:val="00FF5F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4661A"/>
  <w15:docId w15:val="{D4ADD3B0-5C15-4BA9-9E21-7A8DA600E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4E30"/>
    <w:pPr>
      <w:ind w:left="720"/>
      <w:contextualSpacing/>
    </w:pPr>
  </w:style>
  <w:style w:type="paragraph" w:styleId="a4">
    <w:name w:val="Balloon Text"/>
    <w:basedOn w:val="a"/>
    <w:link w:val="a5"/>
    <w:uiPriority w:val="99"/>
    <w:semiHidden/>
    <w:unhideWhenUsed/>
    <w:rsid w:val="00BD2AC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D2ACB"/>
    <w:rPr>
      <w:rFonts w:ascii="Segoe UI" w:hAnsi="Segoe UI" w:cs="Segoe UI"/>
      <w:sz w:val="18"/>
      <w:szCs w:val="18"/>
    </w:rPr>
  </w:style>
  <w:style w:type="paragraph" w:styleId="a6">
    <w:name w:val="Normal (Web)"/>
    <w:basedOn w:val="a"/>
    <w:uiPriority w:val="99"/>
    <w:unhideWhenUsed/>
    <w:rsid w:val="00791E8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791E8D"/>
    <w:rPr>
      <w:b/>
      <w:bCs/>
    </w:rPr>
  </w:style>
  <w:style w:type="paragraph" w:customStyle="1" w:styleId="1">
    <w:name w:val="Без интервала1"/>
    <w:uiPriority w:val="99"/>
    <w:rsid w:val="00BE01BD"/>
    <w:pPr>
      <w:spacing w:after="0" w:line="240" w:lineRule="auto"/>
    </w:pPr>
    <w:rPr>
      <w:rFonts w:ascii="Calibri" w:eastAsia="Times New Roman" w:hAnsi="Calibri" w:cs="Calibri"/>
      <w:lang w:eastAsia="ru-RU"/>
    </w:rPr>
  </w:style>
  <w:style w:type="table" w:styleId="a8">
    <w:name w:val="Table Grid"/>
    <w:basedOn w:val="a1"/>
    <w:rsid w:val="00BE01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CC3862"/>
    <w:pPr>
      <w:spacing w:after="0" w:line="240" w:lineRule="auto"/>
    </w:pPr>
    <w:rPr>
      <w:rFonts w:ascii="Times New Roman" w:eastAsia="Times New Roman" w:hAnsi="Times New Roman" w:cs="Times New Roman"/>
      <w:sz w:val="24"/>
      <w:szCs w:val="24"/>
      <w:lang w:eastAsia="ru-RU"/>
    </w:rPr>
  </w:style>
  <w:style w:type="character" w:styleId="aa">
    <w:name w:val="Hyperlink"/>
    <w:basedOn w:val="a0"/>
    <w:uiPriority w:val="99"/>
    <w:unhideWhenUsed/>
    <w:rsid w:val="00FD526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3163">
      <w:bodyDiv w:val="1"/>
      <w:marLeft w:val="0"/>
      <w:marRight w:val="0"/>
      <w:marTop w:val="0"/>
      <w:marBottom w:val="0"/>
      <w:divBdr>
        <w:top w:val="none" w:sz="0" w:space="0" w:color="auto"/>
        <w:left w:val="none" w:sz="0" w:space="0" w:color="auto"/>
        <w:bottom w:val="none" w:sz="0" w:space="0" w:color="auto"/>
        <w:right w:val="none" w:sz="0" w:space="0" w:color="auto"/>
      </w:divBdr>
    </w:div>
    <w:div w:id="39549180">
      <w:bodyDiv w:val="1"/>
      <w:marLeft w:val="0"/>
      <w:marRight w:val="0"/>
      <w:marTop w:val="0"/>
      <w:marBottom w:val="0"/>
      <w:divBdr>
        <w:top w:val="none" w:sz="0" w:space="0" w:color="auto"/>
        <w:left w:val="none" w:sz="0" w:space="0" w:color="auto"/>
        <w:bottom w:val="none" w:sz="0" w:space="0" w:color="auto"/>
        <w:right w:val="none" w:sz="0" w:space="0" w:color="auto"/>
      </w:divBdr>
    </w:div>
    <w:div w:id="373895698">
      <w:bodyDiv w:val="1"/>
      <w:marLeft w:val="0"/>
      <w:marRight w:val="0"/>
      <w:marTop w:val="0"/>
      <w:marBottom w:val="0"/>
      <w:divBdr>
        <w:top w:val="none" w:sz="0" w:space="0" w:color="auto"/>
        <w:left w:val="none" w:sz="0" w:space="0" w:color="auto"/>
        <w:bottom w:val="none" w:sz="0" w:space="0" w:color="auto"/>
        <w:right w:val="none" w:sz="0" w:space="0" w:color="auto"/>
      </w:divBdr>
    </w:div>
    <w:div w:id="653530045">
      <w:bodyDiv w:val="1"/>
      <w:marLeft w:val="0"/>
      <w:marRight w:val="0"/>
      <w:marTop w:val="0"/>
      <w:marBottom w:val="0"/>
      <w:divBdr>
        <w:top w:val="none" w:sz="0" w:space="0" w:color="auto"/>
        <w:left w:val="none" w:sz="0" w:space="0" w:color="auto"/>
        <w:bottom w:val="none" w:sz="0" w:space="0" w:color="auto"/>
        <w:right w:val="none" w:sz="0" w:space="0" w:color="auto"/>
      </w:divBdr>
    </w:div>
    <w:div w:id="90421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ronnicaadm.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D27A-6B6D-4827-9ED5-0C684A17E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1821</Words>
  <Characters>10384</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Яшина Ольга Алексеевна</dc:creator>
  <cp:lastModifiedBy>Admin</cp:lastModifiedBy>
  <cp:revision>2</cp:revision>
  <cp:lastPrinted>2024-05-08T07:16:00Z</cp:lastPrinted>
  <dcterms:created xsi:type="dcterms:W3CDTF">2024-06-06T11:42:00Z</dcterms:created>
  <dcterms:modified xsi:type="dcterms:W3CDTF">2024-06-06T11:42:00Z</dcterms:modified>
</cp:coreProperties>
</file>