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FD92" w14:textId="4F404A2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01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87D995" wp14:editId="53506BB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BF14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D3177" w14:textId="77777777" w:rsidR="00A0115C" w:rsidRPr="00A0115C" w:rsidRDefault="00A0115C" w:rsidP="00A01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51EF7BD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B6EF099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A110356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Новгородский муниципальный район</w:t>
      </w:r>
    </w:p>
    <w:p w14:paraId="19B9C77F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0727110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14BC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5F3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0F190DB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DBAB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F07F" w14:textId="4704C9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14:paraId="13101144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14:paraId="2740AFED" w14:textId="77777777" w:rsidR="000D685A" w:rsidRDefault="000D685A" w:rsidP="000D685A">
      <w:pPr>
        <w:spacing w:after="0" w:line="240" w:lineRule="auto"/>
        <w:rPr>
          <w:sz w:val="28"/>
          <w:szCs w:val="28"/>
        </w:rPr>
      </w:pPr>
    </w:p>
    <w:p w14:paraId="5498205E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14:paraId="743FECA9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64577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14:paraId="4B3CDF8C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14:paraId="4E24A136" w14:textId="4794CE58" w:rsidR="00F37911" w:rsidRPr="00F37911" w:rsidRDefault="00A0115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14:paraId="6E496B62" w14:textId="77777777"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0D371" w14:textId="0527CE58" w:rsidR="00410FA9" w:rsidRPr="00410FA9" w:rsidRDefault="00F37911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18DC">
        <w:rPr>
          <w:rFonts w:ascii="Times New Roman" w:hAnsi="Times New Roman" w:cs="Times New Roman"/>
          <w:sz w:val="28"/>
          <w:szCs w:val="28"/>
        </w:rPr>
        <w:t>Р</w:t>
      </w:r>
      <w:r w:rsidR="000D124C">
        <w:rPr>
          <w:rFonts w:ascii="Times New Roman" w:hAnsi="Times New Roman" w:cs="Times New Roman"/>
          <w:sz w:val="28"/>
          <w:szCs w:val="28"/>
        </w:rPr>
        <w:t>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A0115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2</w:t>
      </w:r>
      <w:r w:rsidR="00A0115C">
        <w:rPr>
          <w:rFonts w:ascii="Times New Roman" w:hAnsi="Times New Roman" w:cs="Times New Roman"/>
          <w:sz w:val="28"/>
          <w:szCs w:val="28"/>
        </w:rPr>
        <w:t>8</w:t>
      </w:r>
      <w:r w:rsidR="006074BC">
        <w:rPr>
          <w:rFonts w:ascii="Times New Roman" w:hAnsi="Times New Roman" w:cs="Times New Roman"/>
          <w:sz w:val="28"/>
          <w:szCs w:val="28"/>
        </w:rPr>
        <w:t>.10.2019 №</w:t>
      </w:r>
      <w:r w:rsidR="00A0115C">
        <w:rPr>
          <w:rFonts w:ascii="Times New Roman" w:hAnsi="Times New Roman" w:cs="Times New Roman"/>
          <w:sz w:val="28"/>
          <w:szCs w:val="28"/>
        </w:rPr>
        <w:t>248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 (налоговых расходов) по местным налогам в </w:t>
      </w:r>
      <w:r w:rsidR="00A0115C">
        <w:rPr>
          <w:rFonts w:ascii="Times New Roman" w:hAnsi="Times New Roman" w:cs="Times New Roman"/>
          <w:sz w:val="28"/>
          <w:szCs w:val="28"/>
        </w:rPr>
        <w:t>Бронницком сельском поселении»</w:t>
      </w:r>
      <w:r w:rsidR="005618DC">
        <w:rPr>
          <w:rFonts w:ascii="Times New Roman" w:hAnsi="Times New Roman" w:cs="Times New Roman"/>
          <w:sz w:val="28"/>
          <w:szCs w:val="28"/>
        </w:rPr>
        <w:t>, в</w:t>
      </w:r>
      <w:r w:rsidR="005618DC" w:rsidRPr="005618DC">
        <w:rPr>
          <w:rFonts w:ascii="Times New Roman" w:hAnsi="Times New Roman" w:cs="Times New Roman"/>
          <w:sz w:val="28"/>
          <w:szCs w:val="28"/>
        </w:rPr>
        <w:t xml:space="preserve">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Бронницкого сельского поселения,</w:t>
      </w:r>
    </w:p>
    <w:p w14:paraId="42528E53" w14:textId="77777777"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14:paraId="155C7AFB" w14:textId="2738DC21"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5618DC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поселения за 2018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№1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2C011" w14:textId="6B2DD8D2" w:rsidR="00F86B4E" w:rsidRPr="00F86B4E" w:rsidRDefault="00F86B4E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Перечень налоговых расходов </w:t>
      </w:r>
      <w:r w:rsidR="005618D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2020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B85C04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№2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CE673" w14:textId="4291C8AA" w:rsidR="00410FA9" w:rsidRPr="00410FA9" w:rsidRDefault="00F86B4E" w:rsidP="00FD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D526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24E30" w:rsidRPr="00D24E30">
        <w:rPr>
          <w:rFonts w:ascii="Times New Roman" w:hAnsi="Times New Roman" w:cs="Times New Roman"/>
          <w:sz w:val="28"/>
          <w:szCs w:val="28"/>
        </w:rPr>
        <w:t>в газете «</w:t>
      </w:r>
      <w:r w:rsidR="005618DC">
        <w:rPr>
          <w:rFonts w:ascii="Times New Roman" w:hAnsi="Times New Roman" w:cs="Times New Roman"/>
          <w:sz w:val="28"/>
          <w:szCs w:val="28"/>
        </w:rPr>
        <w:t>Официальный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618DC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в информационно-телекоммуникационной сети «Интернет» по адресу: </w:t>
      </w:r>
      <w:hyperlink r:id="rId7" w:history="1"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r w:rsidR="00FD5266" w:rsidRPr="00FD52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D5266" w:rsidRPr="00FD5266">
        <w:rPr>
          <w:rFonts w:ascii="Times New Roman" w:hAnsi="Times New Roman" w:cs="Times New Roman"/>
          <w:sz w:val="28"/>
          <w:szCs w:val="28"/>
        </w:rPr>
        <w:t xml:space="preserve"> </w:t>
      </w:r>
      <w:r w:rsidR="00FD5266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14:paraId="5231A93C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CAFBA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6154" w14:textId="5BDB4289" w:rsidR="00070851" w:rsidRDefault="00410FA9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266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D24E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r w:rsidR="0022433D">
        <w:rPr>
          <w:rFonts w:ascii="Times New Roman" w:hAnsi="Times New Roman" w:cs="Times New Roman"/>
          <w:sz w:val="28"/>
          <w:szCs w:val="28"/>
        </w:rPr>
        <w:t>С.Г. Васильева</w:t>
      </w:r>
    </w:p>
    <w:p w14:paraId="17DC1749" w14:textId="77777777" w:rsidR="00123AFD" w:rsidRDefault="00123AFD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BBE4" w14:textId="38859095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4F4B7" w14:textId="0D8D54A7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9173CE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410FA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36CF6FB" w14:textId="4478154B" w:rsidR="00410FA9" w:rsidRPr="00410FA9" w:rsidRDefault="009173CE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E79B" w14:textId="5AF31614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22433D" w:rsidRPr="0022433D">
        <w:rPr>
          <w:rFonts w:ascii="Times New Roman" w:hAnsi="Times New Roman" w:cs="Times New Roman"/>
          <w:sz w:val="28"/>
          <w:szCs w:val="28"/>
        </w:rPr>
        <w:t>22.05.2020г</w:t>
      </w:r>
      <w:r w:rsidRPr="0022433D">
        <w:rPr>
          <w:rFonts w:ascii="Times New Roman" w:hAnsi="Times New Roman" w:cs="Times New Roman"/>
          <w:sz w:val="28"/>
          <w:szCs w:val="28"/>
        </w:rPr>
        <w:t xml:space="preserve"> № </w:t>
      </w:r>
      <w:r w:rsidR="0022433D" w:rsidRPr="0022433D">
        <w:rPr>
          <w:rFonts w:ascii="Times New Roman" w:hAnsi="Times New Roman" w:cs="Times New Roman"/>
          <w:sz w:val="28"/>
          <w:szCs w:val="28"/>
        </w:rPr>
        <w:t>45</w:t>
      </w:r>
      <w:r w:rsidR="0022433D">
        <w:rPr>
          <w:rFonts w:ascii="Times New Roman" w:hAnsi="Times New Roman" w:cs="Times New Roman"/>
          <w:sz w:val="28"/>
          <w:szCs w:val="28"/>
        </w:rPr>
        <w:t>-рг</w:t>
      </w:r>
    </w:p>
    <w:p w14:paraId="21513711" w14:textId="77777777" w:rsidR="00BA0F7D" w:rsidRPr="0022433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ABED" w14:textId="4F6A06EB" w:rsidR="00EF2FD3" w:rsidRPr="0022433D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7B157" w14:textId="1ABC8F11" w:rsidR="00410FA9" w:rsidRPr="0022433D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Бронницком сельском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14:paraId="203B30E5" w14:textId="77777777" w:rsidR="00410FA9" w:rsidRPr="0022433D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D1942" w14:textId="2352B0DD" w:rsidR="00EF2FD3" w:rsidRPr="0022433D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поселения, </w:t>
      </w:r>
    </w:p>
    <w:p w14:paraId="68A51089" w14:textId="3FFEC507" w:rsidR="00410FA9" w:rsidRPr="0022433D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2018 году.</w:t>
      </w:r>
    </w:p>
    <w:p w14:paraId="6E5DEA41" w14:textId="77777777" w:rsidR="006C154D" w:rsidRPr="0022433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82579" w14:textId="229465BA" w:rsidR="006C154D" w:rsidRPr="0022433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14:paraId="45D80A09" w14:textId="18702D2A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</w:rPr>
        <w:t xml:space="preserve"> </w:t>
      </w:r>
      <w:r w:rsidRPr="0022433D">
        <w:rPr>
          <w:color w:val="000000"/>
        </w:rPr>
        <w:tab/>
      </w:r>
      <w:r w:rsidRPr="0022433D">
        <w:rPr>
          <w:color w:val="000000"/>
          <w:sz w:val="28"/>
          <w:szCs w:val="28"/>
        </w:rPr>
        <w:t xml:space="preserve">На территории </w:t>
      </w:r>
      <w:r w:rsidR="009173CE" w:rsidRPr="0022433D">
        <w:rPr>
          <w:color w:val="000000"/>
          <w:sz w:val="28"/>
          <w:szCs w:val="28"/>
        </w:rPr>
        <w:t>Бронницкого с</w:t>
      </w:r>
      <w:r w:rsidR="0022433D" w:rsidRPr="0022433D">
        <w:rPr>
          <w:color w:val="000000"/>
          <w:sz w:val="28"/>
          <w:szCs w:val="28"/>
        </w:rPr>
        <w:t>е</w:t>
      </w:r>
      <w:r w:rsidR="009173CE" w:rsidRPr="0022433D">
        <w:rPr>
          <w:color w:val="000000"/>
          <w:sz w:val="28"/>
          <w:szCs w:val="28"/>
        </w:rPr>
        <w:t>льского</w:t>
      </w:r>
      <w:r w:rsidRPr="0022433D">
        <w:rPr>
          <w:color w:val="000000"/>
          <w:sz w:val="28"/>
          <w:szCs w:val="28"/>
        </w:rPr>
        <w:t xml:space="preserve"> поселения введены следующие местные налоги:</w:t>
      </w:r>
    </w:p>
    <w:p w14:paraId="0C05E84B" w14:textId="773E498E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1) налог на имущество физических лиц</w:t>
      </w:r>
      <w:r w:rsidR="007428B5" w:rsidRPr="0022433D">
        <w:rPr>
          <w:color w:val="000000"/>
          <w:sz w:val="28"/>
          <w:szCs w:val="28"/>
        </w:rPr>
        <w:t xml:space="preserve"> – по нормативу 100%</w:t>
      </w:r>
      <w:r w:rsidRPr="0022433D">
        <w:rPr>
          <w:color w:val="000000"/>
          <w:sz w:val="28"/>
          <w:szCs w:val="28"/>
        </w:rPr>
        <w:t>;</w:t>
      </w:r>
    </w:p>
    <w:p w14:paraId="59AD43BC" w14:textId="3B14EDB0" w:rsidR="007876EA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2) земельный налог - по нормативу 100%.</w:t>
      </w:r>
    </w:p>
    <w:p w14:paraId="2CEF4E22" w14:textId="5BFF2AA6" w:rsidR="007428B5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14:paraId="320EFC84" w14:textId="77777777" w:rsidR="00F33544" w:rsidRPr="0022433D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18F2F91" w14:textId="1862EC94" w:rsidR="007428B5" w:rsidRPr="0022433D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2433D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14:paraId="03FA354A" w14:textId="77777777" w:rsidR="00F33544" w:rsidRPr="0022433D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28F99C87" w14:textId="42FAAC74" w:rsidR="00B00014" w:rsidRPr="0022433D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 xml:space="preserve">Решением Совета депутатов </w:t>
      </w:r>
      <w:r w:rsidR="009173CE" w:rsidRPr="0022433D">
        <w:rPr>
          <w:color w:val="000000"/>
          <w:sz w:val="28"/>
          <w:szCs w:val="28"/>
        </w:rPr>
        <w:t xml:space="preserve">Бронницкого сельского </w:t>
      </w:r>
      <w:r w:rsidRPr="0022433D">
        <w:rPr>
          <w:color w:val="000000"/>
          <w:sz w:val="28"/>
          <w:szCs w:val="28"/>
        </w:rPr>
        <w:t>поселения</w:t>
      </w:r>
      <w:r w:rsidR="00145B51" w:rsidRPr="0022433D">
        <w:rPr>
          <w:color w:val="000000"/>
          <w:sz w:val="28"/>
          <w:szCs w:val="28"/>
        </w:rPr>
        <w:t xml:space="preserve"> </w:t>
      </w:r>
      <w:r w:rsidRPr="0022433D">
        <w:rPr>
          <w:color w:val="000000"/>
          <w:sz w:val="28"/>
          <w:szCs w:val="28"/>
        </w:rPr>
        <w:t xml:space="preserve">от </w:t>
      </w:r>
      <w:r w:rsidR="009173CE" w:rsidRPr="0022433D">
        <w:rPr>
          <w:color w:val="000000"/>
          <w:sz w:val="28"/>
          <w:szCs w:val="28"/>
        </w:rPr>
        <w:t>30.04.2020г</w:t>
      </w:r>
      <w:r w:rsidR="00145B51" w:rsidRPr="0022433D">
        <w:rPr>
          <w:color w:val="000000"/>
          <w:sz w:val="28"/>
          <w:szCs w:val="28"/>
        </w:rPr>
        <w:t xml:space="preserve"> №221 </w:t>
      </w:r>
      <w:r w:rsidRPr="0022433D">
        <w:rPr>
          <w:color w:val="000000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145B51" w:rsidRPr="0022433D">
        <w:rPr>
          <w:color w:val="000000"/>
          <w:sz w:val="28"/>
          <w:szCs w:val="28"/>
        </w:rPr>
        <w:t>Бронницкого сельского</w:t>
      </w:r>
      <w:r w:rsidRPr="0022433D">
        <w:rPr>
          <w:color w:val="000000"/>
          <w:sz w:val="28"/>
          <w:szCs w:val="28"/>
        </w:rPr>
        <w:t xml:space="preserve"> поселения» 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</w:t>
      </w:r>
      <w:r w:rsidR="00145B51" w:rsidRPr="0022433D">
        <w:rPr>
          <w:color w:val="000000"/>
          <w:sz w:val="28"/>
          <w:szCs w:val="28"/>
        </w:rPr>
        <w:t>главой 32</w:t>
      </w:r>
      <w:r w:rsidRPr="0022433D">
        <w:rPr>
          <w:color w:val="000000"/>
          <w:sz w:val="28"/>
          <w:szCs w:val="28"/>
        </w:rPr>
        <w:t xml:space="preserve">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r w:rsidR="0022433D">
        <w:rPr>
          <w:color w:val="000000"/>
          <w:sz w:val="28"/>
          <w:szCs w:val="28"/>
        </w:rPr>
        <w:t>Бронницкого</w:t>
      </w:r>
      <w:r w:rsidRPr="0022433D">
        <w:rPr>
          <w:color w:val="000000"/>
          <w:sz w:val="28"/>
          <w:szCs w:val="28"/>
        </w:rPr>
        <w:t xml:space="preserve"> поселения не устанавливались.</w:t>
      </w:r>
    </w:p>
    <w:p w14:paraId="317EBEE7" w14:textId="53AFD6D4" w:rsidR="00A627DF" w:rsidRPr="0022433D" w:rsidRDefault="00B00014" w:rsidP="00A62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145B51"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Бронницкого сельского 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24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3CBA" w:rsidRPr="0022433D">
        <w:rPr>
          <w:rFonts w:ascii="Times New Roman" w:hAnsi="Times New Roman" w:cs="Times New Roman"/>
          <w:color w:val="000000"/>
          <w:sz w:val="28"/>
          <w:szCs w:val="28"/>
        </w:rPr>
        <w:t>14.11.2007г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A3CBA" w:rsidRPr="0022433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земельного налога</w:t>
      </w:r>
      <w:r w:rsidR="005A3CBA"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Бронницкого сельского поселения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82A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3CBA" w:rsidRPr="002243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A3CBA" w:rsidRPr="005A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</w:t>
      </w:r>
      <w:r w:rsidR="00282A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5A3CBA" w:rsidRPr="005A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31.10.2018 № 151</w:t>
      </w:r>
      <w:r w:rsidR="00D4683E"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налоговые ставки на земельные участки в зависимости </w:t>
      </w:r>
      <w:r w:rsidR="005A3CBA" w:rsidRPr="0022433D">
        <w:rPr>
          <w:rFonts w:ascii="Times New Roman" w:hAnsi="Times New Roman" w:cs="Times New Roman"/>
          <w:color w:val="000000"/>
          <w:sz w:val="28"/>
          <w:szCs w:val="28"/>
        </w:rPr>
        <w:t>кадастровой стоимости земельного участка.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Помимо определенных статьей 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395 Налогового кодекса Российской Федерации категорий налогоплательщиков, имеющих право на налоговые льготы по данному виду налога, указанным выше решением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27DF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14:paraId="0C9A10EF" w14:textId="1BD15E35" w:rsidR="005A3CBA" w:rsidRPr="005A3CBA" w:rsidRDefault="005A3CBA" w:rsidP="00A627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A3CBA">
        <w:rPr>
          <w:sz w:val="28"/>
          <w:szCs w:val="28"/>
        </w:rPr>
        <w:t xml:space="preserve">1) 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14:paraId="0D884EFC" w14:textId="4A17CCE7" w:rsidR="005A3CBA" w:rsidRPr="005A3CBA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</w:r>
      <w:r w:rsidRPr="005A3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6A7425" w14:textId="1A066AB9" w:rsidR="00282ADB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14:paraId="45C4D86C" w14:textId="67F66C48" w:rsidR="0056338C" w:rsidRPr="005A3CBA" w:rsidRDefault="00282ADB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38C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338C" w:rsidRPr="0022433D">
        <w:rPr>
          <w:rFonts w:ascii="Times New Roman" w:hAnsi="Times New Roman" w:cs="Times New Roman"/>
        </w:rPr>
        <w:t xml:space="preserve"> </w:t>
      </w:r>
      <w:r w:rsidR="00877F2D">
        <w:rPr>
          <w:rFonts w:ascii="Times New Roman" w:hAnsi="Times New Roman" w:cs="Times New Roman"/>
          <w:sz w:val="28"/>
          <w:szCs w:val="28"/>
        </w:rPr>
        <w:t>в</w:t>
      </w:r>
      <w:r w:rsidR="0056338C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</w:t>
      </w:r>
      <w:r w:rsidR="00877F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6338C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338C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877F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6338C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 (Льгота отменена решением Совета депутатов Бронницкого сельского поселения "О внесении изменений в решение Совета депутатов Бронницкого с\п от 14.11.2007 №27 "Об установлении земельного налога на территории Бронницкого сельского поселения» от 31.10.2018 №151 с 01.01.2019г)</w:t>
      </w:r>
    </w:p>
    <w:p w14:paraId="5141D884" w14:textId="44254DD1" w:rsidR="00B00014" w:rsidRPr="0022433D" w:rsidRDefault="00B00014" w:rsidP="00534F6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муниципальными нормативными правовыми актами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Бронницкого сельского </w:t>
      </w:r>
      <w:r w:rsidR="00534F6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14:paraId="6961300A" w14:textId="4D5AD9B5" w:rsidR="00791E8D" w:rsidRPr="0022433D" w:rsidRDefault="00F33544" w:rsidP="00B0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ab/>
        <w:t xml:space="preserve">По итогам проведения инвентаризации предоставленных налоговых льгот составлен перечень налоговых расходов </w:t>
      </w:r>
      <w:r w:rsidR="00A627DF" w:rsidRPr="0022433D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Pr="0022433D">
        <w:rPr>
          <w:rFonts w:ascii="Times New Roman" w:hAnsi="Times New Roman" w:cs="Times New Roman"/>
          <w:sz w:val="28"/>
          <w:szCs w:val="28"/>
        </w:rPr>
        <w:t xml:space="preserve"> поселения (приложение № 2 к </w:t>
      </w:r>
      <w:r w:rsidR="00A627DF" w:rsidRPr="0022433D">
        <w:rPr>
          <w:rFonts w:ascii="Times New Roman" w:hAnsi="Times New Roman" w:cs="Times New Roman"/>
          <w:sz w:val="28"/>
          <w:szCs w:val="28"/>
        </w:rPr>
        <w:t>решению</w:t>
      </w:r>
      <w:r w:rsidRPr="0022433D">
        <w:rPr>
          <w:rFonts w:ascii="Times New Roman" w:hAnsi="Times New Roman" w:cs="Times New Roman"/>
          <w:sz w:val="28"/>
          <w:szCs w:val="28"/>
        </w:rPr>
        <w:t>).</w:t>
      </w:r>
    </w:p>
    <w:p w14:paraId="785AB513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18A95E" w14:textId="39A54F8E" w:rsidR="008726A9" w:rsidRPr="0022433D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14:paraId="4C82C850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02BA78" w14:textId="24E9D4EB" w:rsidR="00791E8D" w:rsidRPr="0022433D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7947DE" w14:textId="2B70E7D6" w:rsidR="00DC6FFB" w:rsidRPr="0022433D" w:rsidRDefault="00C63037" w:rsidP="00A627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C8E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22433D">
        <w:rPr>
          <w:rFonts w:ascii="Times New Roman" w:hAnsi="Times New Roman" w:cs="Times New Roman"/>
          <w:sz w:val="28"/>
          <w:szCs w:val="28"/>
        </w:rPr>
        <w:t>налогоплательщикам, входящим в структуру органов местного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 </w:t>
      </w:r>
      <w:r w:rsidR="00167C8E" w:rsidRPr="0022433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167C8E" w:rsidRPr="0022433D">
        <w:rPr>
          <w:rFonts w:ascii="Times New Roman" w:hAnsi="Times New Roman" w:cs="Times New Roman"/>
          <w:sz w:val="28"/>
          <w:szCs w:val="28"/>
        </w:rPr>
        <w:t xml:space="preserve"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 Данные льготы установлены в целях уменьшения расходов налогоплательщиков, финансовое обеспечение которых </w:t>
      </w:r>
      <w:r w:rsidR="00167C8E" w:rsidRPr="0022433D">
        <w:rPr>
          <w:rFonts w:ascii="Times New Roman" w:hAnsi="Times New Roman" w:cs="Times New Roman"/>
          <w:sz w:val="28"/>
          <w:szCs w:val="28"/>
        </w:rPr>
        <w:lastRenderedPageBreak/>
        <w:t>осуществляется в полном объеме или частично за счет бюджета поселения или муниципального района.</w:t>
      </w:r>
    </w:p>
    <w:p w14:paraId="31644D67" w14:textId="34EBC781" w:rsidR="000051BA" w:rsidRPr="0022433D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льготой по данным УФНС России по Новгородской области в 2018 году воспользовались </w:t>
      </w:r>
      <w:r w:rsidR="005C5A7E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4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526050" w:rsidRPr="0022433D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5C5A7E" w:rsidRPr="0022433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24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14:paraId="181E41BF" w14:textId="107B89C3" w:rsidR="00167C8E" w:rsidRPr="0022433D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 w:rsidRPr="0022433D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 w:rsidRPr="0022433D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14:paraId="7528FB38" w14:textId="3D6EE686" w:rsidR="005D1A85" w:rsidRPr="0022433D" w:rsidRDefault="005D1A85" w:rsidP="00526050">
      <w:pPr>
        <w:pStyle w:val="a3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 льгота 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</w:t>
      </w:r>
      <w:r w:rsidRPr="0022433D">
        <w:rPr>
          <w:rFonts w:ascii="Times New Roman" w:hAnsi="Times New Roman" w:cs="Times New Roman"/>
          <w:sz w:val="28"/>
          <w:szCs w:val="28"/>
        </w:rPr>
        <w:t xml:space="preserve"> характеризуется как социальная, так как устанавливается для отдельных социально незащищенных групп населения.</w:t>
      </w:r>
    </w:p>
    <w:p w14:paraId="37444C30" w14:textId="5F7DA73D" w:rsidR="00DC6FFB" w:rsidRPr="0022433D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715929" w14:textId="77777777" w:rsidR="00526050" w:rsidRPr="0022433D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2018 году данн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льготой воспользовался 31 плательщик налогов и сборов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сумму 30 тыс. рублей.</w:t>
      </w:r>
      <w:r w:rsidR="00526050" w:rsidRPr="0022433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F972D0" w14:textId="7A355194" w:rsidR="004551C9" w:rsidRPr="0022433D" w:rsidRDefault="00526050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sz w:val="28"/>
          <w:szCs w:val="28"/>
        </w:rPr>
        <w:t>Социальная эффективность признана положительной, так как предоставление льготы способствует росту социальной защищенности населения и формированию благоприятных условий их жизнедеятельности.</w:t>
      </w:r>
    </w:p>
    <w:p w14:paraId="68970222" w14:textId="31C84D9B" w:rsidR="00F33544" w:rsidRPr="0022433D" w:rsidRDefault="009C7518" w:rsidP="00877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  <w:r w:rsidRPr="009C7518">
        <w:rPr>
          <w:rFonts w:ascii="Times New Roman" w:hAnsi="Times New Roman" w:cs="Times New Roman"/>
          <w:sz w:val="28"/>
          <w:szCs w:val="28"/>
        </w:rPr>
        <w:t>3.</w:t>
      </w:r>
      <w:r w:rsidR="00282ADB">
        <w:rPr>
          <w:rFonts w:ascii="Times New Roman" w:hAnsi="Times New Roman" w:cs="Times New Roman"/>
          <w:sz w:val="28"/>
          <w:szCs w:val="28"/>
        </w:rPr>
        <w:t>3</w:t>
      </w:r>
      <w:r w:rsidRPr="009C75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7518">
        <w:rPr>
          <w:rFonts w:ascii="Times New Roman" w:hAnsi="Times New Roman" w:cs="Times New Roman"/>
          <w:sz w:val="28"/>
          <w:szCs w:val="28"/>
        </w:rPr>
        <w:t>алоговая льгота в</w:t>
      </w:r>
      <w:r w:rsidRPr="009C7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етеранам и инвалидам ВОВ. Льгота является социальной. В 2018 году льготой воспользовались 2 плательщика налогов и сборов на сумму 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A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ьгота</w:t>
      </w:r>
      <w:r w:rsidR="0087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неэффективной</w:t>
      </w:r>
      <w:r w:rsidR="002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данная группа налоговых плательщиков совпадает по возрастной категории с группой плательщиков пользующейся льготой предоставляемой гражданам в возрасте</w:t>
      </w:r>
      <w:r w:rsidR="00282ADB" w:rsidRPr="0028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ADB" w:rsidRPr="0028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отменена решением Совета депутатов Бронницкого сельского поселения "О внесении изменений в решение Совета депутатов Бронницкого с\п от 14.11.2007 №27 "Об установлении земельного налога на территории Бронницкого сельского поселения» от 31.10.2018 №151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01.01.2019г  </w:t>
      </w:r>
    </w:p>
    <w:p w14:paraId="283CAA38" w14:textId="77777777" w:rsidR="00BE01BD" w:rsidRPr="0022433D" w:rsidRDefault="00BE01BD" w:rsidP="006C154D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sectPr w:rsidR="00BE01BD" w:rsidRPr="00224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1890C" w14:textId="5A944184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98E7" w14:textId="61CA0113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5C5A7E">
        <w:rPr>
          <w:rFonts w:ascii="Times New Roman" w:hAnsi="Times New Roman" w:cs="Times New Roman"/>
          <w:sz w:val="28"/>
          <w:szCs w:val="28"/>
        </w:rPr>
        <w:t>решению</w:t>
      </w:r>
      <w:r w:rsidRPr="00410F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F2DC662" w14:textId="6FEE032E" w:rsidR="00F33544" w:rsidRPr="00410FA9" w:rsidRDefault="005C5A7E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A20902B" w14:textId="7369AF82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5C5A7E">
        <w:rPr>
          <w:rFonts w:ascii="Times New Roman" w:hAnsi="Times New Roman" w:cs="Times New Roman"/>
          <w:sz w:val="28"/>
          <w:szCs w:val="28"/>
        </w:rPr>
        <w:t>22.05</w:t>
      </w:r>
      <w:r w:rsidRPr="00410F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0FA9">
        <w:rPr>
          <w:rFonts w:ascii="Times New Roman" w:hAnsi="Times New Roman" w:cs="Times New Roman"/>
          <w:sz w:val="28"/>
          <w:szCs w:val="28"/>
        </w:rPr>
        <w:t xml:space="preserve"> № </w:t>
      </w:r>
      <w:r w:rsidR="005C5A7E">
        <w:rPr>
          <w:rFonts w:ascii="Times New Roman" w:hAnsi="Times New Roman" w:cs="Times New Roman"/>
          <w:sz w:val="28"/>
          <w:szCs w:val="28"/>
        </w:rPr>
        <w:t>45</w:t>
      </w:r>
      <w:r w:rsidR="0022433D">
        <w:rPr>
          <w:rFonts w:ascii="Times New Roman" w:hAnsi="Times New Roman" w:cs="Times New Roman"/>
          <w:sz w:val="28"/>
          <w:szCs w:val="28"/>
        </w:rPr>
        <w:t>-рг</w:t>
      </w:r>
    </w:p>
    <w:p w14:paraId="25FD1DEB" w14:textId="77777777"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409C44" w14:textId="2A1721D7" w:rsidR="00BE01BD" w:rsidRPr="0022433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</w:t>
      </w:r>
      <w:r w:rsidR="005C5A7E" w:rsidRPr="0022433D"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поселения на 2020 год</w:t>
      </w:r>
    </w:p>
    <w:p w14:paraId="7CB7BA96" w14:textId="77777777"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A0115C" w:rsidRPr="00047561" w14:paraId="3CF6FF2A" w14:textId="77777777" w:rsidTr="00395D8C">
        <w:trPr>
          <w:jc w:val="center"/>
        </w:trPr>
        <w:tc>
          <w:tcPr>
            <w:tcW w:w="284" w:type="dxa"/>
            <w:vMerge w:val="restart"/>
          </w:tcPr>
          <w:p w14:paraId="718A46F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</w:tcPr>
          <w:p w14:paraId="60D1A3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14:paraId="65701A7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14:paraId="18B4807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14:paraId="5FB0BC9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14:paraId="1A3F5CD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14:paraId="0BD8C31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14:paraId="15C0812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14:paraId="15267E9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14:paraId="00D267A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 программы Бронницкого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14:paraId="22DE54F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Бронницкого сельского поселения</w:t>
            </w:r>
          </w:p>
        </w:tc>
        <w:tc>
          <w:tcPr>
            <w:tcW w:w="1563" w:type="dxa"/>
            <w:vMerge w:val="restart"/>
          </w:tcPr>
          <w:p w14:paraId="466F756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A0115C" w:rsidRPr="00047561" w14:paraId="3DBE4D54" w14:textId="77777777" w:rsidTr="00395D8C">
        <w:trPr>
          <w:jc w:val="center"/>
        </w:trPr>
        <w:tc>
          <w:tcPr>
            <w:tcW w:w="284" w:type="dxa"/>
            <w:vMerge/>
          </w:tcPr>
          <w:p w14:paraId="6AA7C63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6C5B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1C6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45EED70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14:paraId="76BBB1F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/>
          </w:tcPr>
          <w:p w14:paraId="19A6E75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0688D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CBD7B5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2C30EE5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34CC4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ED5D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AE0BD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14:paraId="2A09318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15C" w:rsidRPr="00047561" w14:paraId="63511B94" w14:textId="77777777" w:rsidTr="00395D8C">
        <w:trPr>
          <w:trHeight w:val="405"/>
          <w:jc w:val="center"/>
        </w:trPr>
        <w:tc>
          <w:tcPr>
            <w:tcW w:w="284" w:type="dxa"/>
          </w:tcPr>
          <w:p w14:paraId="48A9735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7B9E88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21A77C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C720D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E76D31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8C14C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C0716C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14:paraId="57009D8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14:paraId="4DA79BA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0B598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876F7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06FBE09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14:paraId="07E47B0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0115C" w:rsidRPr="00047561" w14:paraId="0059DE65" w14:textId="77777777" w:rsidTr="00395D8C">
        <w:trPr>
          <w:trHeight w:val="405"/>
          <w:jc w:val="center"/>
        </w:trPr>
        <w:tc>
          <w:tcPr>
            <w:tcW w:w="284" w:type="dxa"/>
          </w:tcPr>
          <w:p w14:paraId="399BDAA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B200300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</w:t>
            </w:r>
          </w:p>
        </w:tc>
        <w:tc>
          <w:tcPr>
            <w:tcW w:w="1559" w:type="dxa"/>
          </w:tcPr>
          <w:p w14:paraId="061FD1A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0DBB6F9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№151</w:t>
            </w:r>
          </w:p>
        </w:tc>
        <w:tc>
          <w:tcPr>
            <w:tcW w:w="1134" w:type="dxa"/>
          </w:tcPr>
          <w:p w14:paraId="6AB44E2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14:paraId="2227937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35075B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2409" w:type="dxa"/>
          </w:tcPr>
          <w:p w14:paraId="20C116F8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жительствав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14:paraId="2A9AFC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14:paraId="16E84809" w14:textId="77777777" w:rsidR="00A0115C" w:rsidRPr="00047561" w:rsidRDefault="00A0115C" w:rsidP="00395D8C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с 01.01.2008</w:t>
            </w:r>
          </w:p>
          <w:p w14:paraId="682037B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74FE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E90857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795D0370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A0115C" w:rsidRPr="00047561" w14:paraId="7763D275" w14:textId="77777777" w:rsidTr="00A0115C">
        <w:trPr>
          <w:trHeight w:val="2199"/>
          <w:jc w:val="center"/>
        </w:trPr>
        <w:tc>
          <w:tcPr>
            <w:tcW w:w="284" w:type="dxa"/>
          </w:tcPr>
          <w:p w14:paraId="12B5822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</w:tcPr>
          <w:p w14:paraId="584F44F2" w14:textId="77777777" w:rsidR="00A0115C" w:rsidRPr="00047561" w:rsidRDefault="00A0115C" w:rsidP="00395D8C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7414EF41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622B7FE1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№151</w:t>
            </w:r>
          </w:p>
        </w:tc>
        <w:tc>
          <w:tcPr>
            <w:tcW w:w="1134" w:type="dxa"/>
          </w:tcPr>
          <w:p w14:paraId="39D5D0E7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14:paraId="5ABBF28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754F3B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</w:p>
        </w:tc>
        <w:tc>
          <w:tcPr>
            <w:tcW w:w="2409" w:type="dxa"/>
          </w:tcPr>
          <w:p w14:paraId="1117CF24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деятельности;</w:t>
            </w:r>
          </w:p>
        </w:tc>
        <w:tc>
          <w:tcPr>
            <w:tcW w:w="987" w:type="dxa"/>
          </w:tcPr>
          <w:p w14:paraId="5972492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06D5C66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4E7E78D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64EF9EE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7AF33D2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A0115C" w:rsidRPr="00047561" w14:paraId="49776C37" w14:textId="77777777" w:rsidTr="00395D8C">
        <w:trPr>
          <w:trHeight w:val="405"/>
          <w:jc w:val="center"/>
        </w:trPr>
        <w:tc>
          <w:tcPr>
            <w:tcW w:w="284" w:type="dxa"/>
          </w:tcPr>
          <w:p w14:paraId="4B8DC42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AB949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09703F13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323063B1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№151</w:t>
            </w:r>
          </w:p>
        </w:tc>
        <w:tc>
          <w:tcPr>
            <w:tcW w:w="1134" w:type="dxa"/>
          </w:tcPr>
          <w:p w14:paraId="056D4217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14:paraId="4B8D1617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E9550DC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2409" w:type="dxa"/>
          </w:tcPr>
          <w:p w14:paraId="414C0653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      </w:r>
          </w:p>
        </w:tc>
        <w:tc>
          <w:tcPr>
            <w:tcW w:w="987" w:type="dxa"/>
          </w:tcPr>
          <w:p w14:paraId="1C9B887A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5CF807F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54814940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7EE3F02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09818C3F" w14:textId="77777777" w:rsidR="00A0115C" w:rsidRPr="00A0115C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15C">
              <w:rPr>
                <w:rFonts w:ascii="Times New Roman" w:hAnsi="Times New Roman" w:cs="Times New Roman"/>
                <w:sz w:val="18"/>
                <w:szCs w:val="18"/>
              </w:rPr>
              <w:t>Комитет образования АдминистрацииНовгородского муниципального района</w:t>
            </w:r>
          </w:p>
          <w:p w14:paraId="49EE12A5" w14:textId="77777777" w:rsidR="00A0115C" w:rsidRPr="00A0115C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E21E7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15C">
              <w:rPr>
                <w:rFonts w:ascii="Times New Roman" w:hAnsi="Times New Roman" w:cs="Times New Roman"/>
                <w:sz w:val="18"/>
                <w:szCs w:val="18"/>
              </w:rPr>
              <w:t>Комитет культуры АдминистрацииНовгородского муниципального района</w:t>
            </w:r>
          </w:p>
        </w:tc>
      </w:tr>
    </w:tbl>
    <w:p w14:paraId="40E2937B" w14:textId="77777777" w:rsidR="00BE01BD" w:rsidRPr="006C154D" w:rsidRDefault="00BE01B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A0115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 w15:restartNumberingAfterBreak="0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 w15:restartNumberingAfterBreak="0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9"/>
    <w:rsid w:val="000051BA"/>
    <w:rsid w:val="000328DF"/>
    <w:rsid w:val="00070851"/>
    <w:rsid w:val="000D124C"/>
    <w:rsid w:val="000D685A"/>
    <w:rsid w:val="00123AFD"/>
    <w:rsid w:val="00145B51"/>
    <w:rsid w:val="0016110D"/>
    <w:rsid w:val="0016705E"/>
    <w:rsid w:val="00167C8E"/>
    <w:rsid w:val="00211166"/>
    <w:rsid w:val="0022433D"/>
    <w:rsid w:val="00230D5B"/>
    <w:rsid w:val="00261E65"/>
    <w:rsid w:val="00282ADB"/>
    <w:rsid w:val="00293C4F"/>
    <w:rsid w:val="002D161B"/>
    <w:rsid w:val="002F0427"/>
    <w:rsid w:val="00366F58"/>
    <w:rsid w:val="00410FA9"/>
    <w:rsid w:val="004551C9"/>
    <w:rsid w:val="004C6A52"/>
    <w:rsid w:val="00526050"/>
    <w:rsid w:val="00534F6B"/>
    <w:rsid w:val="005618DC"/>
    <w:rsid w:val="0056338C"/>
    <w:rsid w:val="005A3CBA"/>
    <w:rsid w:val="005C5A7E"/>
    <w:rsid w:val="005D1A85"/>
    <w:rsid w:val="006074BC"/>
    <w:rsid w:val="0065234D"/>
    <w:rsid w:val="006C154D"/>
    <w:rsid w:val="006C744B"/>
    <w:rsid w:val="00706B4E"/>
    <w:rsid w:val="007428B5"/>
    <w:rsid w:val="007620BF"/>
    <w:rsid w:val="007876EA"/>
    <w:rsid w:val="00791E8D"/>
    <w:rsid w:val="007E0B2F"/>
    <w:rsid w:val="008365D2"/>
    <w:rsid w:val="008726A9"/>
    <w:rsid w:val="00877F2D"/>
    <w:rsid w:val="008859EC"/>
    <w:rsid w:val="008970F8"/>
    <w:rsid w:val="008E3DC3"/>
    <w:rsid w:val="008F26C9"/>
    <w:rsid w:val="009173CE"/>
    <w:rsid w:val="00937822"/>
    <w:rsid w:val="009B75B7"/>
    <w:rsid w:val="009C7518"/>
    <w:rsid w:val="009F1062"/>
    <w:rsid w:val="00A0115C"/>
    <w:rsid w:val="00A627DF"/>
    <w:rsid w:val="00A643B3"/>
    <w:rsid w:val="00A93A9D"/>
    <w:rsid w:val="00AB7F9B"/>
    <w:rsid w:val="00AD26BA"/>
    <w:rsid w:val="00B00014"/>
    <w:rsid w:val="00B8016D"/>
    <w:rsid w:val="00B85C04"/>
    <w:rsid w:val="00BA0F7D"/>
    <w:rsid w:val="00BD2ACB"/>
    <w:rsid w:val="00BE01BD"/>
    <w:rsid w:val="00C51EB0"/>
    <w:rsid w:val="00C63037"/>
    <w:rsid w:val="00CC3862"/>
    <w:rsid w:val="00CE6203"/>
    <w:rsid w:val="00D24E30"/>
    <w:rsid w:val="00D4683E"/>
    <w:rsid w:val="00D5416F"/>
    <w:rsid w:val="00DC6FFB"/>
    <w:rsid w:val="00DF6D70"/>
    <w:rsid w:val="00EF2FD3"/>
    <w:rsid w:val="00F1161E"/>
    <w:rsid w:val="00F33544"/>
    <w:rsid w:val="00F37911"/>
    <w:rsid w:val="00F46647"/>
    <w:rsid w:val="00F574FA"/>
    <w:rsid w:val="00F86B4E"/>
    <w:rsid w:val="00FA0C0B"/>
    <w:rsid w:val="00FD5266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61A"/>
  <w15:docId w15:val="{D4ADD3B0-5C15-4BA9-9E21-7A8DA6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5987-7AC9-49F7-802C-CE71E20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Юля</cp:lastModifiedBy>
  <cp:revision>2</cp:revision>
  <cp:lastPrinted>2020-05-25T05:33:00Z</cp:lastPrinted>
  <dcterms:created xsi:type="dcterms:W3CDTF">2020-05-29T10:58:00Z</dcterms:created>
  <dcterms:modified xsi:type="dcterms:W3CDTF">2020-05-29T10:58:00Z</dcterms:modified>
</cp:coreProperties>
</file>