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E4608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33(360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E4608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25</w:t>
                            </w:r>
                            <w:r w:rsidR="00D43CE1">
                              <w:rPr>
                                <w:sz w:val="20"/>
                                <w:szCs w:val="20"/>
                              </w:rPr>
                              <w:t xml:space="preserve"> августа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E4608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33(360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E4608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25</w:t>
                      </w:r>
                      <w:r w:rsidR="00D43CE1">
                        <w:rPr>
                          <w:sz w:val="20"/>
                          <w:szCs w:val="20"/>
                        </w:rPr>
                        <w:t xml:space="preserve"> августа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  <w:r w:rsidR="00E46081">
        <w:rPr>
          <w:noProof/>
          <w:lang w:eastAsia="ru-RU"/>
        </w:rPr>
        <w:drawing>
          <wp:inline distT="0" distB="0" distL="0" distR="0">
            <wp:extent cx="5940425" cy="3961057"/>
            <wp:effectExtent l="0" t="0" r="3175" b="1905"/>
            <wp:docPr id="3" name="Рисунок 3" descr="https://t499671.sch.obrazovanie33.ru/upload/iblock/697/Otopitelnyy-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99671.sch.obrazovanie33.ru/upload/iblock/697/Otopitelnyy-peri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3CE1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</w:t>
      </w:r>
      <w:r w:rsidR="00B32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DD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46081" w:rsidRDefault="00E46081" w:rsidP="00E46081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46081">
        <w:rPr>
          <w:rFonts w:ascii="Times New Roman" w:hAnsi="Times New Roman" w:cs="Times New Roman"/>
          <w:b/>
          <w:sz w:val="16"/>
          <w:szCs w:val="16"/>
          <w:lang w:eastAsia="ru-RU"/>
        </w:rPr>
        <w:t>В Новгородском районе юридическое лицо оштрафовано за нарушения законодательства о противодействии коррупции</w:t>
      </w:r>
    </w:p>
    <w:p w:rsidR="00E46081" w:rsidRPr="00E46081" w:rsidRDefault="00E46081" w:rsidP="00E46081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116D5">
        <w:rPr>
          <w:rFonts w:ascii="Times New Roman" w:hAnsi="Times New Roman" w:cs="Times New Roman"/>
          <w:sz w:val="16"/>
          <w:szCs w:val="16"/>
          <w:lang w:eastAsia="ru-RU"/>
        </w:rPr>
        <w:t>Прокуратура Новгородского района провела проверку законодательства о противодействии коррупции.</w:t>
      </w: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116D5">
        <w:rPr>
          <w:rFonts w:ascii="Times New Roman" w:hAnsi="Times New Roman" w:cs="Times New Roman"/>
          <w:sz w:val="16"/>
          <w:szCs w:val="16"/>
          <w:lang w:eastAsia="ru-RU"/>
        </w:rPr>
        <w:t>Установлено, что в августе 2022 года в ООО «</w:t>
      </w:r>
      <w:proofErr w:type="spellStart"/>
      <w:r w:rsidRPr="00A116D5">
        <w:rPr>
          <w:rFonts w:ascii="Times New Roman" w:hAnsi="Times New Roman" w:cs="Times New Roman"/>
          <w:sz w:val="16"/>
          <w:szCs w:val="16"/>
          <w:lang w:eastAsia="ru-RU"/>
        </w:rPr>
        <w:t>НовСвин</w:t>
      </w:r>
      <w:proofErr w:type="spellEnd"/>
      <w:r w:rsidRPr="00A116D5">
        <w:rPr>
          <w:rFonts w:ascii="Times New Roman" w:hAnsi="Times New Roman" w:cs="Times New Roman"/>
          <w:sz w:val="16"/>
          <w:szCs w:val="16"/>
          <w:lang w:eastAsia="ru-RU"/>
        </w:rPr>
        <w:t>» принят на работу сотрудник, который ранее занимал должность дежурного помощника начальника следственного изолятора ФКУ СИЗО-1 УФСИН России по Новгородской области.</w:t>
      </w: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116D5">
        <w:rPr>
          <w:rFonts w:ascii="Times New Roman" w:hAnsi="Times New Roman" w:cs="Times New Roman"/>
          <w:sz w:val="16"/>
          <w:szCs w:val="16"/>
          <w:lang w:eastAsia="ru-RU"/>
        </w:rPr>
        <w:t>В нарушение Федерального закона «О противодействии коррупции» сведения о заключении трудового договора с указанным сотрудником на предыдущее место его службы в установленный законом 10-дневный срок направлены не были.</w:t>
      </w: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116D5">
        <w:rPr>
          <w:rFonts w:ascii="Times New Roman" w:hAnsi="Times New Roman" w:cs="Times New Roman"/>
          <w:sz w:val="16"/>
          <w:szCs w:val="16"/>
          <w:lang w:eastAsia="ru-RU"/>
        </w:rPr>
        <w:t>По данному факту прокурор в отношении организации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государственного служащего).</w:t>
      </w: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116D5">
        <w:rPr>
          <w:rFonts w:ascii="Times New Roman" w:hAnsi="Times New Roman" w:cs="Times New Roman"/>
          <w:sz w:val="16"/>
          <w:szCs w:val="16"/>
          <w:lang w:eastAsia="ru-RU"/>
        </w:rPr>
        <w:t>По материалам прокурорской проверки юридическое лицо оштрафовано на 50 тыс. рублей.</w:t>
      </w: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116D5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Прокуратура Новгородского района</w:t>
      </w:r>
    </w:p>
    <w:p w:rsidR="00E46081" w:rsidRPr="00A116D5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A62DD" w:rsidRDefault="00E46081" w:rsidP="00E46081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E46081" w:rsidRDefault="00E46081" w:rsidP="00E46081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46081" w:rsidRDefault="00E46081" w:rsidP="00E46081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46081">
        <w:rPr>
          <w:rFonts w:ascii="Times New Roman" w:hAnsi="Times New Roman" w:cs="Times New Roman"/>
          <w:b/>
          <w:sz w:val="16"/>
          <w:szCs w:val="16"/>
          <w:lang w:eastAsia="ru-RU"/>
        </w:rPr>
        <w:lastRenderedPageBreak/>
        <w:t>Житель Великого Новгорода осужден за использование поддельного водительского удостоверения</w:t>
      </w:r>
    </w:p>
    <w:p w:rsidR="00E46081" w:rsidRPr="00E46081" w:rsidRDefault="00E46081" w:rsidP="00E46081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46081" w:rsidRPr="00133476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33476">
        <w:rPr>
          <w:rFonts w:ascii="Times New Roman" w:hAnsi="Times New Roman" w:cs="Times New Roman"/>
          <w:sz w:val="16"/>
          <w:szCs w:val="16"/>
          <w:lang w:eastAsia="ru-RU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37-летнего </w:t>
      </w:r>
      <w:proofErr w:type="spellStart"/>
      <w:r w:rsidRPr="00133476">
        <w:rPr>
          <w:rFonts w:ascii="Times New Roman" w:hAnsi="Times New Roman" w:cs="Times New Roman"/>
          <w:sz w:val="16"/>
          <w:szCs w:val="16"/>
          <w:lang w:eastAsia="ru-RU"/>
        </w:rPr>
        <w:t>Григанова</w:t>
      </w:r>
      <w:proofErr w:type="spellEnd"/>
      <w:r w:rsidRPr="00133476">
        <w:rPr>
          <w:rFonts w:ascii="Times New Roman" w:hAnsi="Times New Roman" w:cs="Times New Roman"/>
          <w:sz w:val="16"/>
          <w:szCs w:val="16"/>
          <w:lang w:eastAsia="ru-RU"/>
        </w:rPr>
        <w:t xml:space="preserve"> Евгения. Он признан виновным в совершении преступления по ч. 3 ст. 327 УК РФ (приобретение, хранение, перевозка в целях использования и использование заведомо поддельного удостоверения, предоставляющего право).</w:t>
      </w:r>
    </w:p>
    <w:p w:rsidR="00E46081" w:rsidRPr="00133476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33476">
        <w:rPr>
          <w:rFonts w:ascii="Times New Roman" w:hAnsi="Times New Roman" w:cs="Times New Roman"/>
          <w:sz w:val="16"/>
          <w:szCs w:val="16"/>
          <w:lang w:eastAsia="ru-RU"/>
        </w:rPr>
        <w:t xml:space="preserve">Судом установлено, что в ноябре 2022 года </w:t>
      </w:r>
      <w:proofErr w:type="spellStart"/>
      <w:r w:rsidRPr="00133476">
        <w:rPr>
          <w:rFonts w:ascii="Times New Roman" w:hAnsi="Times New Roman" w:cs="Times New Roman"/>
          <w:sz w:val="16"/>
          <w:szCs w:val="16"/>
          <w:lang w:eastAsia="ru-RU"/>
        </w:rPr>
        <w:t>Григанов</w:t>
      </w:r>
      <w:proofErr w:type="spellEnd"/>
      <w:r w:rsidRPr="00133476">
        <w:rPr>
          <w:rFonts w:ascii="Times New Roman" w:hAnsi="Times New Roman" w:cs="Times New Roman"/>
          <w:sz w:val="16"/>
          <w:szCs w:val="16"/>
          <w:lang w:eastAsia="ru-RU"/>
        </w:rPr>
        <w:t xml:space="preserve"> приобрел за 15 тыс. рублей через сеть Интернет у иного лица водительское удостоверение на свое имя с правом управления транспортным средством категории «В, В1, С, С1, М». При этом бланк удостоверения был изготовлен </w:t>
      </w:r>
      <w:proofErr w:type="gramStart"/>
      <w:r w:rsidRPr="00133476">
        <w:rPr>
          <w:rFonts w:ascii="Times New Roman" w:hAnsi="Times New Roman" w:cs="Times New Roman"/>
          <w:sz w:val="16"/>
          <w:szCs w:val="16"/>
          <w:lang w:eastAsia="ru-RU"/>
        </w:rPr>
        <w:t xml:space="preserve">не производством </w:t>
      </w:r>
      <w:proofErr w:type="gramEnd"/>
      <w:r w:rsidRPr="00133476">
        <w:rPr>
          <w:rFonts w:ascii="Times New Roman" w:hAnsi="Times New Roman" w:cs="Times New Roman"/>
          <w:sz w:val="16"/>
          <w:szCs w:val="16"/>
          <w:lang w:eastAsia="ru-RU"/>
        </w:rPr>
        <w:t>АО «</w:t>
      </w:r>
      <w:proofErr w:type="spellStart"/>
      <w:r w:rsidRPr="00133476">
        <w:rPr>
          <w:rFonts w:ascii="Times New Roman" w:hAnsi="Times New Roman" w:cs="Times New Roman"/>
          <w:sz w:val="16"/>
          <w:szCs w:val="16"/>
          <w:lang w:eastAsia="ru-RU"/>
        </w:rPr>
        <w:t>Госзнак</w:t>
      </w:r>
      <w:proofErr w:type="spellEnd"/>
      <w:r w:rsidRPr="00133476">
        <w:rPr>
          <w:rFonts w:ascii="Times New Roman" w:hAnsi="Times New Roman" w:cs="Times New Roman"/>
          <w:sz w:val="16"/>
          <w:szCs w:val="16"/>
          <w:lang w:eastAsia="ru-RU"/>
        </w:rPr>
        <w:t>». Указанный документ подсудимый хранил при себе и использовал до 25 марта 2023 года.</w:t>
      </w:r>
    </w:p>
    <w:p w:rsidR="00E46081" w:rsidRPr="00133476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33476">
        <w:rPr>
          <w:rFonts w:ascii="Times New Roman" w:hAnsi="Times New Roman" w:cs="Times New Roman"/>
          <w:sz w:val="16"/>
          <w:szCs w:val="16"/>
          <w:lang w:eastAsia="ru-RU"/>
        </w:rPr>
        <w:t>Вину в совершении преступления подсудимый признал полностью.</w:t>
      </w:r>
    </w:p>
    <w:p w:rsidR="00E46081" w:rsidRPr="00133476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33476">
        <w:rPr>
          <w:rFonts w:ascii="Times New Roman" w:hAnsi="Times New Roman" w:cs="Times New Roman"/>
          <w:sz w:val="16"/>
          <w:szCs w:val="16"/>
          <w:lang w:eastAsia="ru-RU"/>
        </w:rPr>
        <w:t>Суд, с учётом позиции представителя прокуратуры, по совокупности приговоров назначил ему наказание в виде 3 месяцев принудительных работ с удержанием 15% из заработной платы в доход государства с лишением права заниматься деятельностью, связанной с управлением транспортными средствами, сроком на 9 месяцев 19 дней.</w:t>
      </w:r>
    </w:p>
    <w:p w:rsidR="00E46081" w:rsidRPr="00133476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33476">
        <w:rPr>
          <w:rFonts w:ascii="Times New Roman" w:hAnsi="Times New Roman" w:cs="Times New Roman"/>
          <w:sz w:val="16"/>
          <w:szCs w:val="16"/>
          <w:lang w:eastAsia="ru-RU"/>
        </w:rPr>
        <w:t>Приговор вступил в законную силу.</w:t>
      </w:r>
    </w:p>
    <w:p w:rsidR="00E46081" w:rsidRPr="00133476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3347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Прокуратура Новгородского района</w:t>
      </w:r>
    </w:p>
    <w:p w:rsidR="00E46081" w:rsidRPr="00133476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Прокурор области Швецов С.А. совместно с Уполномоченным по правам ребенка в Новгородской области Ефимовой Т.А. 31.08.2023 в 15.00 проведет тематический прием граждан, приуроченный к «Дню знаний», по вопросам нарушения законодательства в сфере образования.</w:t>
      </w:r>
    </w:p>
    <w:p w:rsidR="00E46081" w:rsidRPr="00E70021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E70021">
        <w:rPr>
          <w:rFonts w:ascii="Times New Roman" w:hAnsi="Times New Roman" w:cs="Times New Roman"/>
          <w:sz w:val="16"/>
          <w:szCs w:val="16"/>
        </w:rPr>
        <w:t xml:space="preserve">Прием будет проводится </w:t>
      </w:r>
      <w:r w:rsidRPr="00E70021">
        <w:rPr>
          <w:rFonts w:ascii="Times New Roman" w:hAnsi="Times New Roman" w:cs="Times New Roman"/>
          <w:b/>
          <w:sz w:val="16"/>
          <w:szCs w:val="16"/>
        </w:rPr>
        <w:t>по предварительной записи</w:t>
      </w:r>
      <w:r w:rsidRPr="00E70021">
        <w:rPr>
          <w:rFonts w:ascii="Times New Roman" w:hAnsi="Times New Roman" w:cs="Times New Roman"/>
          <w:sz w:val="16"/>
          <w:szCs w:val="16"/>
        </w:rPr>
        <w:t xml:space="preserve"> в прокуратуре области по адресу: Новгородская область, г. Великий Новгород, ул. </w:t>
      </w:r>
      <w:proofErr w:type="spellStart"/>
      <w:r w:rsidRPr="00E70021">
        <w:rPr>
          <w:rFonts w:ascii="Times New Roman" w:hAnsi="Times New Roman" w:cs="Times New Roman"/>
          <w:sz w:val="16"/>
          <w:szCs w:val="16"/>
        </w:rPr>
        <w:t>Новолучанская</w:t>
      </w:r>
      <w:proofErr w:type="spellEnd"/>
      <w:r w:rsidRPr="00E70021">
        <w:rPr>
          <w:rFonts w:ascii="Times New Roman" w:hAnsi="Times New Roman" w:cs="Times New Roman"/>
          <w:sz w:val="16"/>
          <w:szCs w:val="16"/>
        </w:rPr>
        <w:t xml:space="preserve">, д. 11, в том числе с использованием видео-конференц-связи. Записаться на прием жители региона смогут по телефону прокуратуры области (88162) </w:t>
      </w:r>
      <w:r w:rsidRPr="00E70021">
        <w:rPr>
          <w:rFonts w:ascii="Times New Roman" w:hAnsi="Times New Roman" w:cs="Times New Roman"/>
          <w:b/>
          <w:sz w:val="16"/>
          <w:szCs w:val="16"/>
        </w:rPr>
        <w:t>77-81-67</w:t>
      </w:r>
      <w:r w:rsidRPr="00E70021">
        <w:rPr>
          <w:rFonts w:ascii="Times New Roman" w:hAnsi="Times New Roman" w:cs="Times New Roman"/>
          <w:sz w:val="16"/>
          <w:szCs w:val="16"/>
        </w:rPr>
        <w:t xml:space="preserve">, а также по телефону прокуратуры Новгородского района </w:t>
      </w:r>
      <w:r w:rsidRPr="00E70021">
        <w:rPr>
          <w:rFonts w:ascii="Times New Roman" w:hAnsi="Times New Roman" w:cs="Times New Roman"/>
          <w:b/>
          <w:sz w:val="16"/>
          <w:szCs w:val="16"/>
        </w:rPr>
        <w:t>66-34-64</w:t>
      </w:r>
      <w:r w:rsidRPr="00E70021">
        <w:rPr>
          <w:rFonts w:ascii="Times New Roman" w:hAnsi="Times New Roman" w:cs="Times New Roman"/>
          <w:sz w:val="16"/>
          <w:szCs w:val="16"/>
        </w:rPr>
        <w:t>.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081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46081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46081" w:rsidRPr="00E46081" w:rsidRDefault="00E46081" w:rsidP="00E46081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5BB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85BBA">
        <w:rPr>
          <w:rFonts w:ascii="Times New Roman" w:hAnsi="Times New Roman" w:cs="Times New Roman"/>
          <w:sz w:val="16"/>
          <w:szCs w:val="16"/>
        </w:rPr>
        <w:t xml:space="preserve"> 24.08.2023     № 68-рз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85BBA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E46081" w:rsidRDefault="00E46081" w:rsidP="00E46081">
      <w:pPr>
        <w:pStyle w:val="a5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 w:rsidRPr="00E46081">
        <w:rPr>
          <w:rFonts w:ascii="Times New Roman" w:hAnsi="Times New Roman" w:cs="Times New Roman"/>
          <w:b/>
          <w:bCs/>
          <w:color w:val="333333"/>
          <w:sz w:val="16"/>
          <w:szCs w:val="16"/>
        </w:rPr>
        <w:t>Об утверждении Порядка и Методики</w:t>
      </w:r>
    </w:p>
    <w:p w:rsidR="00E46081" w:rsidRPr="00E46081" w:rsidRDefault="00E46081" w:rsidP="00E46081">
      <w:pPr>
        <w:pStyle w:val="a5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proofErr w:type="gramStart"/>
      <w:r w:rsidRPr="00E46081">
        <w:rPr>
          <w:rFonts w:ascii="Times New Roman" w:hAnsi="Times New Roman" w:cs="Times New Roman"/>
          <w:b/>
          <w:bCs/>
          <w:color w:val="333333"/>
          <w:sz w:val="16"/>
          <w:szCs w:val="16"/>
        </w:rPr>
        <w:t>планирования</w:t>
      </w:r>
      <w:proofErr w:type="gramEnd"/>
      <w:r w:rsidRPr="00E46081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бюджетных ассигнований </w:t>
      </w:r>
    </w:p>
    <w:p w:rsidR="00E46081" w:rsidRPr="00E46081" w:rsidRDefault="00E46081" w:rsidP="00E46081">
      <w:pPr>
        <w:pStyle w:val="a5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proofErr w:type="gramStart"/>
      <w:r w:rsidRPr="00E46081">
        <w:rPr>
          <w:rFonts w:ascii="Times New Roman" w:hAnsi="Times New Roman" w:cs="Times New Roman"/>
          <w:b/>
          <w:bCs/>
          <w:color w:val="333333"/>
          <w:sz w:val="16"/>
          <w:szCs w:val="16"/>
        </w:rPr>
        <w:t>на</w:t>
      </w:r>
      <w:proofErr w:type="gramEnd"/>
      <w:r w:rsidRPr="00E46081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2024 год и плановый период 2025 и 2026 годов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bCs/>
          <w:color w:val="333333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bCs/>
          <w:color w:val="333333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</w:rPr>
        <w:t>В соответствии со статьей 174.2 Бюджетного кодекса Российской Федерации, Уст</w:t>
      </w:r>
      <w:r w:rsidRPr="00085BBA">
        <w:rPr>
          <w:rFonts w:ascii="Times New Roman" w:hAnsi="Times New Roman" w:cs="Times New Roman"/>
          <w:sz w:val="16"/>
          <w:szCs w:val="16"/>
        </w:rPr>
        <w:t>а</w:t>
      </w:r>
      <w:r w:rsidRPr="00085BBA">
        <w:rPr>
          <w:rFonts w:ascii="Times New Roman" w:hAnsi="Times New Roman" w:cs="Times New Roman"/>
          <w:sz w:val="16"/>
          <w:szCs w:val="16"/>
        </w:rPr>
        <w:t xml:space="preserve">вом муниципального образования </w:t>
      </w:r>
      <w:proofErr w:type="spellStart"/>
      <w:r w:rsidRPr="00085BBA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085BBA">
        <w:rPr>
          <w:rFonts w:ascii="Times New Roman" w:hAnsi="Times New Roman" w:cs="Times New Roman"/>
          <w:sz w:val="16"/>
          <w:szCs w:val="16"/>
        </w:rPr>
        <w:t xml:space="preserve"> сельское поселение, Положением о бюджетном процессе </w:t>
      </w:r>
      <w:proofErr w:type="spellStart"/>
      <w:r w:rsidRPr="00085BB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утвержденным решением Совета депутатов </w:t>
      </w:r>
      <w:proofErr w:type="spellStart"/>
      <w:r w:rsidRPr="00085BB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</w:rPr>
        <w:t xml:space="preserve"> сельского поселения от 26.12.2016 № 74,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</w:rPr>
        <w:t>1. Утвердить прилагаемые Порядок и Методику планирования бюджетных ассигн</w:t>
      </w:r>
      <w:r w:rsidRPr="00085BBA">
        <w:rPr>
          <w:rFonts w:ascii="Times New Roman" w:hAnsi="Times New Roman" w:cs="Times New Roman"/>
          <w:sz w:val="16"/>
          <w:szCs w:val="16"/>
        </w:rPr>
        <w:t>о</w:t>
      </w:r>
      <w:r w:rsidRPr="00085BBA">
        <w:rPr>
          <w:rFonts w:ascii="Times New Roman" w:hAnsi="Times New Roman" w:cs="Times New Roman"/>
          <w:sz w:val="16"/>
          <w:szCs w:val="16"/>
        </w:rPr>
        <w:t>ваний на 2024 финансовый год и плановый период 2025-2026 годы.</w:t>
      </w:r>
    </w:p>
    <w:p w:rsidR="00E46081" w:rsidRPr="00085BBA" w:rsidRDefault="00E46081" w:rsidP="00E46081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085BBA">
        <w:rPr>
          <w:rFonts w:ascii="Times New Roman" w:hAnsi="Times New Roman" w:cs="Times New Roman"/>
          <w:sz w:val="16"/>
          <w:szCs w:val="16"/>
        </w:rPr>
        <w:t xml:space="preserve">2.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085BB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085BBA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085BBA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085BBA">
        <w:rPr>
          <w:rFonts w:ascii="Times New Roman" w:hAnsi="Times New Roman" w:cs="Times New Roman"/>
          <w:sz w:val="16"/>
          <w:szCs w:val="16"/>
        </w:rPr>
        <w:t xml:space="preserve"> раздел «Документы» подраздел «</w:t>
      </w:r>
      <w:r w:rsidRPr="00085BBA">
        <w:rPr>
          <w:rFonts w:ascii="Times New Roman" w:eastAsia="Lucida Sans Unicode" w:hAnsi="Times New Roman" w:cs="Times New Roman"/>
          <w:sz w:val="16"/>
          <w:szCs w:val="16"/>
          <w:lang w:bidi="en-US"/>
        </w:rPr>
        <w:t>Бюджет поселения».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</w:rPr>
        <w:t xml:space="preserve">Зам. Главы администрации                                                  Е.М. </w:t>
      </w:r>
      <w:proofErr w:type="spellStart"/>
      <w:r w:rsidRPr="00085BBA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555555"/>
          <w:sz w:val="16"/>
          <w:szCs w:val="16"/>
          <w:bdr w:val="none" w:sz="0" w:space="0" w:color="auto" w:frame="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E46081" w:rsidRPr="00085BBA" w:rsidTr="0063121E">
        <w:tc>
          <w:tcPr>
            <w:tcW w:w="5211" w:type="dxa"/>
            <w:shd w:val="clear" w:color="auto" w:fill="auto"/>
          </w:tcPr>
          <w:p w:rsidR="00E46081" w:rsidRPr="00085BBA" w:rsidRDefault="00E46081" w:rsidP="0063121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E46081" w:rsidRPr="00085BBA" w:rsidRDefault="00E46081" w:rsidP="0063121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Утвержден:</w:t>
            </w:r>
          </w:p>
          <w:p w:rsidR="00E46081" w:rsidRPr="00085BBA" w:rsidRDefault="00E46081" w:rsidP="0063121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proofErr w:type="gramStart"/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распоряжением</w:t>
            </w:r>
            <w:proofErr w:type="gramEnd"/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администрации </w:t>
            </w:r>
          </w:p>
          <w:p w:rsidR="00E46081" w:rsidRPr="00085BBA" w:rsidRDefault="00E46081" w:rsidP="0063121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Бронницкого</w:t>
            </w:r>
            <w:proofErr w:type="spellEnd"/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сельского поселения</w:t>
            </w:r>
          </w:p>
          <w:p w:rsidR="00E46081" w:rsidRPr="00085BBA" w:rsidRDefault="00E46081" w:rsidP="0063121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proofErr w:type="gramStart"/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от</w:t>
            </w:r>
            <w:proofErr w:type="gramEnd"/>
            <w:r w:rsidRPr="00085B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24.08.2023 № 68-рз</w:t>
            </w:r>
          </w:p>
        </w:tc>
      </w:tr>
    </w:tbl>
    <w:p w:rsidR="00E46081" w:rsidRPr="00085BBA" w:rsidRDefault="00E46081" w:rsidP="00E46081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E46081" w:rsidRPr="00085BBA" w:rsidRDefault="00E46081" w:rsidP="00E46081">
      <w:pPr>
        <w:pStyle w:val="a5"/>
        <w:jc w:val="center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Порядок планирования бюджетных ассигнований бюджета</w:t>
      </w:r>
    </w:p>
    <w:p w:rsidR="00E46081" w:rsidRPr="00085BBA" w:rsidRDefault="00E46081" w:rsidP="00E46081">
      <w:pPr>
        <w:pStyle w:val="a5"/>
        <w:jc w:val="center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proofErr w:type="spellStart"/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на 2024 год</w:t>
      </w:r>
      <w:r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и плановый период 2025-2026годов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Настоящий Порядок планирования бюджетных ассигнований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(далее – поселение) на 2024 год и плановый период 2025-2026 годов (далее – Порядок) ра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з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работан в соответствии со статьями 69.1, 69.2 и 174.2 Бюджетного кодекса Российской Федерации.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lastRenderedPageBreak/>
        <w:t xml:space="preserve">Основные понятия и термины, применяемые в настоящем Порядке, применяются в значениях, установленных Бюджетным </w:t>
      </w:r>
      <w:hyperlink r:id="rId10">
        <w:r w:rsidRPr="00085BBA">
          <w:rPr>
            <w:rFonts w:ascii="Times New Roman" w:hAnsi="Times New Roman" w:cs="Times New Roman"/>
            <w:color w:val="000000"/>
            <w:sz w:val="16"/>
            <w:szCs w:val="16"/>
            <w:lang w:eastAsia="zh-CN"/>
          </w:rPr>
          <w:t>кодексом</w:t>
        </w:r>
      </w:hyperlink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Российской Федерации и нормативными правовыми актами поселения.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Планирование бюджетных ассигнований бюджета поселения осуществляется в сроки составления проекта бюджета поселения на 2024 год и плановый период 2025 и 2026 годов, </w:t>
      </w: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установленные  распоряжением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Администрации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сельского поселения  от 07.08.2023 г № 62-рг «О порядке и сроках составления проекта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сельского поселения на 2024 год и на плановый период 2025 и 2026 годов».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Планирование бюджетных ассигнований осуществляется по разделам, подразделам, целевым статьям, элементам видов расходов. 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При планировании ассигнований </w:t>
      </w: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на  2024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год и плановый период 2025 и 2026 годов 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 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а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>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>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highlight w:val="yellow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договоре), актах поселения или главного распорядителя средств бюджета поселения, предусматривающих осуществление бюджетных инвестиции в объекты капитального строительства муниципальной собственности, не включенные в долгосрочные муниципальные целевые программы, принятые в установленном порядке;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г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Метод планирования бюджетных ассигнований определяется Методикой планирования бюджетных ассигнований бюджета поселения.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Планирование бюджетных ассигнований осуществляется главным распорядит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лем бюджетных средств раздельно по бюджетным ассигнованиям на исполнение действующих и прин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маемых обязательств.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pacing w:val="-4"/>
          <w:sz w:val="16"/>
          <w:szCs w:val="16"/>
          <w:lang w:eastAsia="zh-CN"/>
        </w:rPr>
        <w:t xml:space="preserve">Главные распорядители бюджетных средств бюджета поселения (далее – главные распорядители) </w:t>
      </w: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представляют сведения, необходимые для составления </w:t>
      </w: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проекта  бюджета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поселения на 2024 год и плановый период 2025 и 2026 годов в Администрацию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сельского поселения (далее - Администрация).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Администрация осуществляет проверку и анализ представленных главными распорядителями расчетов на предмет: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- правильности применения методов расчета бюджетных ассигнований бюджета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- правильности применения кодов бюджетной классификации.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Администрация: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- формирует ведомственную и функциональную структуру расходов бюджета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- формирует распределение бюджетных ассигнований по целевым статьям (муниципальным программам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- формирует приложение по видам и объемам межбюджетных трансфертов, передаваемых бюджету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 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- готовит проект решения Совета депутатов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сельского </w:t>
      </w:r>
      <w:proofErr w:type="gram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поселения  «</w:t>
      </w:r>
      <w:proofErr w:type="gram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О бюджете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сельского поселения на 2024 год и плановый период 2025 и 2026 годов»;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color w:val="FF0000"/>
          <w:sz w:val="16"/>
          <w:szCs w:val="16"/>
          <w:lang w:eastAsia="zh-CN"/>
        </w:rPr>
      </w:pPr>
      <w:r w:rsidRPr="00085BBA">
        <w:rPr>
          <w:rFonts w:ascii="Times New Roman" w:hAnsi="Times New Roman" w:cs="Times New Roman"/>
          <w:sz w:val="16"/>
          <w:szCs w:val="16"/>
          <w:lang w:eastAsia="zh-CN"/>
        </w:rPr>
        <w:t>- готовит пояснительную записку и иные аналитические материалы.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E46081" w:rsidRDefault="00E46081" w:rsidP="00E46081">
      <w:pPr>
        <w:pStyle w:val="a5"/>
        <w:jc w:val="right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E46081" w:rsidRPr="00085BBA" w:rsidRDefault="00E46081" w:rsidP="00E4608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Утверждена</w:t>
      </w:r>
    </w:p>
    <w:p w:rsidR="00E46081" w:rsidRPr="00085BBA" w:rsidRDefault="00E46081" w:rsidP="00E46081">
      <w:pPr>
        <w:pStyle w:val="a5"/>
        <w:jc w:val="right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распоряжением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администрации </w:t>
      </w:r>
    </w:p>
    <w:p w:rsidR="00E46081" w:rsidRPr="00085BBA" w:rsidRDefault="00E46081" w:rsidP="00E46081">
      <w:pPr>
        <w:pStyle w:val="a5"/>
        <w:jc w:val="right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</w:t>
      </w:r>
    </w:p>
    <w:p w:rsidR="00E46081" w:rsidRPr="00085BBA" w:rsidRDefault="00E46081" w:rsidP="00E4608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                                                      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от  24.08.2023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№ 68-рз</w:t>
      </w:r>
    </w:p>
    <w:p w:rsidR="00E46081" w:rsidRPr="00085BBA" w:rsidRDefault="00E46081" w:rsidP="00E46081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E46081" w:rsidRPr="00085BBA" w:rsidRDefault="00E46081" w:rsidP="00E46081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Методика планирования бюджетных ассигнований бюджета </w:t>
      </w:r>
      <w:proofErr w:type="spellStart"/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на 2024-2026 годы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Настоящая Методика планирования бюджетных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ассигнований  бюджета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на 2024-2026 годы разработана в соответствии с требованиями пункта 1 ст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тьи 174.2 Бюджетного кодекса Российской Федерации, с целью создания единой метод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ческой базы расчета расходов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раздельно по действующим и принимаемым обязательствам на 2024-2026 годы.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I. Общие положения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Настоящей Методикой предлагаются предварительные проектировки предельных объемов бюджетных ассигнований на период 2024-2026 годы.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Планирование бюджетных ассигнований производится в соответствии с расходными об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я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зательствами сельского поселения, исполнение которых осуществляется за счет средств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поселения, раздельно по бюдже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ным ассигнованиям на исполнение действующих и принимаемых расходных обяз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тельств.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1. К действующим расходным обязательствам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носятся: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    оказание муниципальных услуг (выполнение работ) сельского поселения.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бот, оказание услуг для муниципальных нужд учитывается предоставление субс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дий автономным учреждениям, включая субсидии на финансовое обеспечение выполнения ими муниципального задания.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   межбюджетные трансферты местным бюджетам, предусмотренные действующим з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конодательством;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сельского  поселения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по дейс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вующим долговым обязательствам.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lastRenderedPageBreak/>
        <w:t xml:space="preserve">2. К принимаемым расходным обязательствам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отн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сятся: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увеличение объема действующих или введение новых видов расходных обязательств по оказанию муниципальных услуг (выполнению работ) сельского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     предоставление бюджетных инвестиций юридическим лицам, не являющимся мун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ципальными учреждениями;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по прин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маемым долговым обязательствам;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 исполнение судебных актов по искам к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Бронницкому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сельскому  поселению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3. Бюджетные ассигнования группируются по видам в соответствии со статьей 69 Бю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жетного кодекса Российской Федерации. Расчет бюджетных ассигнований произв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дится в зависимости от вида бюджетного ассигнования одним из следующих методов: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 нормативный метод расчета бюджетного ассигнования бюджета сельского поселения - расчет объема бюджетного ассигнования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на основе нормативов, утвержденных в соответствующих нормативных правовых актах;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 метод индексации расчета бюджетного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ассигнования  бюджета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- расчет объема бюджетного ассигнования 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путем индексации объема бюджетного ассигнования бюджета сельского пос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ления 2022 года с учетом инфляции (иной коэффициент) (применяется исключительно при расчете объема бюджетных ассигнований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по действующим обязательствам);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 плановый метод расчета бюджетного </w:t>
      </w: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ассигнования  бюджета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- установление объема бюджетного ассигнования бюджета сельского посел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ния в соответствии с показателями, установленными в нормативном правовом акте;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 иной метод расчета бюджетного ассигнования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ления - расчет объема бюджетного ассигнования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ления методом, отличным от нормативного метода, метода индексации и планового мет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да расчета бюджетного ассигнования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4. При распределении объемов бюджетных ассигнований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должны соблюдаться следующие принципы: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 - повышение эффективности расходов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при реструктуризации действующих обязательств;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   инвентаризация бюджетных обязательств в целях исключения необязательных в 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кущей ситуации затрат, определение приоритетов в расходовании бюджетных средств;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    приведение расходов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в соответствие с бюджетным законодательством;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принятие мер по оптимизации бюджетных расходов;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 внедрение современных методов бюджетного планирования, ориентированных на к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нечные результаты работы муниципального учреждения.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При формировании объемов бюджетных ассигнований, в первую очередь, должно обесп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Сектор бухгалтерского учета и финансов администрации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на 2023-2025 годы.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II. Формирование объемов действующих обязательств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 на 2023 год принимаются</w:t>
      </w:r>
      <w:r w:rsidRPr="00085BBA">
        <w:rPr>
          <w:rStyle w:val="apple-converted-space"/>
          <w:rFonts w:ascii="Times New Roman" w:hAnsi="Times New Roman" w:cs="Times New Roman"/>
          <w:iCs/>
          <w:sz w:val="16"/>
          <w:szCs w:val="16"/>
          <w:bdr w:val="none" w:sz="0" w:space="0" w:color="auto" w:frame="1"/>
        </w:rPr>
        <w:t> </w:t>
      </w:r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>бюджетные ассигнования, утвержденные Р</w:t>
      </w:r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>е</w:t>
      </w:r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 xml:space="preserve">шением Совета депутатов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</w:t>
      </w:r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 xml:space="preserve"> поселения "О бюджете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</w:t>
      </w:r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 xml:space="preserve">поселения на 2023 год и плановый период 2024-2025 годов» с изменениями на 01 </w:t>
      </w:r>
      <w:proofErr w:type="gramStart"/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>ноября  2023</w:t>
      </w:r>
      <w:proofErr w:type="gramEnd"/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proofErr w:type="gramStart"/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>года</w:t>
      </w:r>
      <w:proofErr w:type="gramEnd"/>
      <w:r w:rsidRPr="00085BBA">
        <w:rPr>
          <w:rStyle w:val="af4"/>
          <w:rFonts w:ascii="Times New Roman" w:hAnsi="Times New Roman" w:cs="Times New Roman"/>
          <w:i w:val="0"/>
          <w:sz w:val="16"/>
          <w:szCs w:val="16"/>
          <w:bdr w:val="none" w:sz="0" w:space="0" w:color="auto" w:frame="1"/>
        </w:rPr>
        <w:t>,</w:t>
      </w:r>
      <w:r w:rsidRPr="00085BBA">
        <w:rPr>
          <w:rStyle w:val="apple-converted-space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ниями, не предлагаемыми (не планируемыми) к изменению в текущем финансовом году, в очередном финансовом году, 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к</w:t>
      </w:r>
      <w:proofErr w:type="gram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признанию утратившими силу либо к изменению с увел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чением объема бюджетных ассигнований, предусмотренного на исполнение соответс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вующих обязательств в текущем финансовом году, включая договоры и соглашения, з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 произведенных в 2023 году в соответствии с разовыми решениями о финансировании из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на реализацию решений, срок действия которых ограничен 2023 годом;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на реализацию целевых программ;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по актам (представлениям) проверок.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Расходы на приобретение основных средств планируются в соответствии с принц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и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пами эффективности и результативности расходования бюджетных средств, в пределах дов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денных предварительных объемов бюджетных ассигнований в целом по соответствующ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му подразделу бюджетной классификации.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III. Формирование объемов принимаемых обязательств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Планирование бюджетных ассигнований на исполнение принимаемых расходных обяз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тельств осуществляется: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поселения, устанавливающими порядок определения объема и предоставления ук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занных ассигнований (плановым методом);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IV. Формирование объемов бюджетных ассигнований бюджета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</w:t>
      </w:r>
      <w:r w:rsidRPr="00085BBA">
        <w:rPr>
          <w:rStyle w:val="a6"/>
          <w:rFonts w:ascii="Times New Roman" w:hAnsi="Times New Roman" w:cs="Times New Roman"/>
          <w:sz w:val="16"/>
          <w:szCs w:val="16"/>
          <w:bdr w:val="none" w:sz="0" w:space="0" w:color="auto" w:frame="1"/>
        </w:rPr>
        <w:t>поселения на 2024 -2026 годы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1.   При планировании и осуществлении бюджетных инвестиций необходимо сосредот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чить бюджетные ресурсы на объектах с высокой степенью готовности и повысить эффе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к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тивность их использования за счет перехода на современные принципы осущест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в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ления бюджетных инвестиций.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2. Иные бюджетные ассигнования определяются плановым методом в соответствии с но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мативными правовыми актами, устанавливающими порядок определения объема и пр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е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доставления указанных ассигнований, а также решениями и (или) поручениями админис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</w:t>
      </w:r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рации </w:t>
      </w:r>
      <w:proofErr w:type="spellStart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Бронницкого</w:t>
      </w:r>
      <w:proofErr w:type="spellEnd"/>
      <w:r w:rsidRPr="00085BB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сельского поселения.</w:t>
      </w:r>
    </w:p>
    <w:p w:rsidR="00E46081" w:rsidRPr="00085BBA" w:rsidRDefault="00E46081" w:rsidP="00E460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85BBA">
        <w:rPr>
          <w:rFonts w:ascii="Times New Roman" w:hAnsi="Times New Roman" w:cs="Times New Roman"/>
          <w:sz w:val="16"/>
          <w:szCs w:val="16"/>
        </w:rPr>
        <w:t> 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FC197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FC197D">
        <w:rPr>
          <w:rFonts w:ascii="Times New Roman" w:hAnsi="Times New Roman" w:cs="Times New Roman"/>
          <w:sz w:val="16"/>
          <w:szCs w:val="16"/>
        </w:rPr>
        <w:t xml:space="preserve"> 25.08.2023       № 71-рз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FC197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E46081" w:rsidRDefault="00E46081" w:rsidP="00E4608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br/>
      </w:r>
      <w:bookmarkStart w:id="0" w:name="_Hlk488745983"/>
      <w:r w:rsidRPr="00E46081">
        <w:rPr>
          <w:rFonts w:ascii="Times New Roman" w:hAnsi="Times New Roman" w:cs="Times New Roman"/>
          <w:b/>
          <w:bCs/>
          <w:sz w:val="16"/>
          <w:szCs w:val="16"/>
        </w:rPr>
        <w:t xml:space="preserve">О проведении инвентаризации мест захоронений, произведенных на муниципальном кладбище </w:t>
      </w:r>
    </w:p>
    <w:p w:rsidR="00E46081" w:rsidRPr="00E46081" w:rsidRDefault="00E46081" w:rsidP="00E4608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E46081">
        <w:rPr>
          <w:rFonts w:ascii="Times New Roman" w:hAnsi="Times New Roman" w:cs="Times New Roman"/>
          <w:b/>
          <w:bCs/>
          <w:sz w:val="16"/>
          <w:szCs w:val="16"/>
        </w:rPr>
        <w:t>в</w:t>
      </w:r>
      <w:proofErr w:type="gramEnd"/>
      <w:r w:rsidRPr="00E46081">
        <w:rPr>
          <w:rFonts w:ascii="Times New Roman" w:hAnsi="Times New Roman" w:cs="Times New Roman"/>
          <w:b/>
          <w:bCs/>
          <w:sz w:val="16"/>
          <w:szCs w:val="16"/>
        </w:rPr>
        <w:t xml:space="preserve">     д. Белая Гора </w:t>
      </w:r>
      <w:proofErr w:type="spellStart"/>
      <w:r w:rsidRPr="00E46081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E46081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  <w:bookmarkEnd w:id="0"/>
    </w:p>
    <w:p w:rsidR="00E46081" w:rsidRPr="00E46081" w:rsidRDefault="00E46081" w:rsidP="00E4608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bCs/>
          <w:sz w:val="16"/>
          <w:szCs w:val="16"/>
        </w:rPr>
      </w:pPr>
      <w:r w:rsidRPr="00FC197D">
        <w:rPr>
          <w:rFonts w:ascii="Times New Roman" w:hAnsi="Times New Roman" w:cs="Times New Roman"/>
          <w:bCs/>
          <w:sz w:val="16"/>
          <w:szCs w:val="16"/>
        </w:rPr>
        <w:t xml:space="preserve">В соответствии с Порядком проведения инвентаризации захоронений на муниципальных кладбищах </w:t>
      </w:r>
      <w:proofErr w:type="spellStart"/>
      <w:r w:rsidRPr="00FC197D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FC197D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утвержденного постановлением Администрации </w:t>
      </w:r>
      <w:proofErr w:type="spellStart"/>
      <w:r w:rsidRPr="00FC197D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FC197D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от 15.07.2019г. №158, а также в целях учета захоронений, могил, определения состояния могил и/или надмогильных сооружений, выявления бесхозных, а также брошенных, неухоженных захоронений,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bCs/>
          <w:sz w:val="16"/>
          <w:szCs w:val="16"/>
        </w:rPr>
      </w:pP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1. Провести, с 01 сентября 2023 года по 31 октября 2023 года включительно, инвентаризацию мест захоронений, произведенных на муниципальном кладбище в д. Белая Гора </w:t>
      </w:r>
      <w:proofErr w:type="spellStart"/>
      <w:r w:rsidRPr="00FC19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197D">
        <w:rPr>
          <w:rFonts w:ascii="Times New Roman" w:hAnsi="Times New Roman" w:cs="Times New Roman"/>
          <w:sz w:val="16"/>
          <w:szCs w:val="16"/>
        </w:rPr>
        <w:t xml:space="preserve"> сельского поселения. 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2. Создать комиссию для проведения инвентаризации мест захоронений, произведенных на муниципальном кладбище в д. Белая Гора </w:t>
      </w:r>
      <w:proofErr w:type="spellStart"/>
      <w:r w:rsidRPr="00FC19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197D">
        <w:rPr>
          <w:rFonts w:ascii="Times New Roman" w:hAnsi="Times New Roman" w:cs="Times New Roman"/>
          <w:sz w:val="16"/>
          <w:szCs w:val="16"/>
        </w:rPr>
        <w:t xml:space="preserve"> сельского поселения в следующем составе: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Председатель комиссии: 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FC197D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FC197D">
        <w:rPr>
          <w:rFonts w:ascii="Times New Roman" w:hAnsi="Times New Roman" w:cs="Times New Roman"/>
          <w:sz w:val="16"/>
          <w:szCs w:val="16"/>
        </w:rPr>
        <w:t xml:space="preserve"> Е.М.;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>Главный специалист Первушина С.Н.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Служащий 1-й категории Борисова А.В. 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>3. Назначить лицо, ответственное за обработку и систематизацию данных, полученных в результате проведения работ по инвентаризации: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proofErr w:type="spellStart"/>
      <w:r w:rsidRPr="00FC197D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FC197D">
        <w:rPr>
          <w:rFonts w:ascii="Times New Roman" w:hAnsi="Times New Roman" w:cs="Times New Roman"/>
          <w:sz w:val="16"/>
          <w:szCs w:val="16"/>
        </w:rPr>
        <w:t xml:space="preserve"> Е.М.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C19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4.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FC197D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FC19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FC197D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Pr="00FC197D">
          <w:rPr>
            <w:rStyle w:val="af3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FC197D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bronnicaadm</w:t>
        </w:r>
        <w:proofErr w:type="spellEnd"/>
        <w:r w:rsidRPr="00FC197D">
          <w:rPr>
            <w:rStyle w:val="af3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FC197D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  <w:proofErr w:type="spellEnd"/>
      </w:hyperlink>
      <w:r w:rsidRPr="00FC19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в разделе «Ритуальная деятельность» подраздел «Нормативно-правовые акты».</w:t>
      </w: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197D">
        <w:rPr>
          <w:rFonts w:ascii="Times New Roman" w:hAnsi="Times New Roman" w:cs="Times New Roman"/>
          <w:sz w:val="16"/>
          <w:szCs w:val="16"/>
        </w:rPr>
        <w:t xml:space="preserve"> Зам. Главы администрации                               Е.М. </w:t>
      </w:r>
      <w:proofErr w:type="spellStart"/>
      <w:r w:rsidRPr="00FC197D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E46081" w:rsidRPr="00FC197D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FC197D" w:rsidRDefault="00E46081" w:rsidP="00E46081">
      <w:pPr>
        <w:pStyle w:val="a5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</w:t>
      </w: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081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E46081" w:rsidRPr="00E46081" w:rsidRDefault="00E46081" w:rsidP="00E460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A26668">
        <w:rPr>
          <w:rFonts w:ascii="Times New Roman" w:hAnsi="Times New Roman" w:cs="Times New Roman"/>
          <w:sz w:val="16"/>
          <w:szCs w:val="16"/>
        </w:rPr>
        <w:t>от  21.08.2023</w:t>
      </w:r>
      <w:proofErr w:type="gramEnd"/>
      <w:r w:rsidRPr="00A26668">
        <w:rPr>
          <w:rFonts w:ascii="Times New Roman" w:hAnsi="Times New Roman" w:cs="Times New Roman"/>
          <w:sz w:val="16"/>
          <w:szCs w:val="16"/>
        </w:rPr>
        <w:t xml:space="preserve"> г.    № 183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A26668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E46081" w:rsidRDefault="00E46081" w:rsidP="00E46081">
      <w:pPr>
        <w:pStyle w:val="a5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r w:rsidRPr="00E46081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>Об отмене постановления № 78 от 14.03.2019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A26668">
        <w:rPr>
          <w:rFonts w:ascii="Times New Roman" w:hAnsi="Times New Roman" w:cs="Times New Roman"/>
          <w:color w:val="000000" w:themeColor="text1"/>
          <w:sz w:val="16"/>
          <w:szCs w:val="16"/>
          <w:lang w:eastAsia="ar-SA"/>
        </w:rPr>
        <w:t xml:space="preserve"> 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  <w:lang w:eastAsia="ar-SA"/>
        </w:rPr>
      </w:pPr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          В соответствии с Уставом </w:t>
      </w:r>
      <w:proofErr w:type="spellStart"/>
      <w:r w:rsidRPr="00A26668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поселения.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  <w:lang w:eastAsia="ar-SA"/>
        </w:rPr>
      </w:pPr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         Администрация </w:t>
      </w:r>
      <w:proofErr w:type="spellStart"/>
      <w:r w:rsidRPr="00A26668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постановляет: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  <w:lang w:eastAsia="ar-SA"/>
        </w:rPr>
      </w:pPr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1. Признать утратившим силу постановление Администрации </w:t>
      </w:r>
      <w:proofErr w:type="spellStart"/>
      <w:r w:rsidRPr="00A26668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14.03.2019 №78 «Об утверждении положения об удостоверении старосты сельского поселения».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 w:rsidRPr="00A26668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26668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поселения» и на официальном сайте в сети «Интернет» по </w:t>
      </w:r>
      <w:r w:rsidRPr="00A26668">
        <w:rPr>
          <w:rFonts w:ascii="Times New Roman" w:hAnsi="Times New Roman" w:cs="Times New Roman"/>
          <w:sz w:val="16"/>
          <w:szCs w:val="16"/>
        </w:rPr>
        <w:t>www.bronnicaadm.ru в разделе «Документы» подраздел «Постановления», в разделе «Старосты населенных пунктов» подраздел «НПА».</w:t>
      </w: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  <w:r w:rsidRPr="00A26668">
        <w:rPr>
          <w:rFonts w:ascii="Times New Roman" w:hAnsi="Times New Roman" w:cs="Times New Roman"/>
          <w:sz w:val="16"/>
          <w:szCs w:val="16"/>
        </w:rPr>
        <w:t xml:space="preserve">Зам Главы </w:t>
      </w:r>
      <w:proofErr w:type="gramStart"/>
      <w:r w:rsidRPr="00A26668">
        <w:rPr>
          <w:rFonts w:ascii="Times New Roman" w:hAnsi="Times New Roman" w:cs="Times New Roman"/>
          <w:sz w:val="16"/>
          <w:szCs w:val="16"/>
        </w:rPr>
        <w:t xml:space="preserve">администрации:   </w:t>
      </w:r>
      <w:proofErr w:type="gramEnd"/>
      <w:r w:rsidRPr="00A26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Е.М. </w:t>
      </w:r>
      <w:proofErr w:type="spellStart"/>
      <w:r w:rsidRPr="00A26668">
        <w:rPr>
          <w:rFonts w:ascii="Times New Roman" w:hAnsi="Times New Roman" w:cs="Times New Roman"/>
          <w:sz w:val="16"/>
          <w:szCs w:val="16"/>
        </w:rPr>
        <w:t>Чеблакова</w:t>
      </w:r>
      <w:bookmarkStart w:id="1" w:name="_GoBack"/>
      <w:bookmarkEnd w:id="1"/>
      <w:proofErr w:type="spellEnd"/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5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E46081" w:rsidTr="00E46081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24.08.2023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46081" w:rsidRDefault="00E46081" w:rsidP="00E460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Pr="00A26668" w:rsidRDefault="00E46081" w:rsidP="00E4608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46081" w:rsidRDefault="00E46081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F3" w:rsidRDefault="00821CF3" w:rsidP="000B0907">
      <w:pPr>
        <w:spacing w:after="0" w:line="240" w:lineRule="auto"/>
      </w:pPr>
      <w:r>
        <w:separator/>
      </w:r>
    </w:p>
  </w:endnote>
  <w:endnote w:type="continuationSeparator" w:id="0">
    <w:p w:rsidR="00821CF3" w:rsidRDefault="00821CF3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81">
          <w:rPr>
            <w:noProof/>
          </w:rPr>
          <w:t>6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F3" w:rsidRDefault="00821CF3" w:rsidP="000B0907">
      <w:pPr>
        <w:spacing w:after="0" w:line="240" w:lineRule="auto"/>
      </w:pPr>
      <w:r>
        <w:separator/>
      </w:r>
    </w:p>
  </w:footnote>
  <w:footnote w:type="continuationSeparator" w:id="0">
    <w:p w:rsidR="00821CF3" w:rsidRDefault="00821CF3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1A62DD"/>
    <w:rsid w:val="003E4DCD"/>
    <w:rsid w:val="004A461A"/>
    <w:rsid w:val="005A0A89"/>
    <w:rsid w:val="00636DB5"/>
    <w:rsid w:val="007A73B8"/>
    <w:rsid w:val="00821CF3"/>
    <w:rsid w:val="00B32A78"/>
    <w:rsid w:val="00C1547E"/>
    <w:rsid w:val="00CF1FEB"/>
    <w:rsid w:val="00D43CE1"/>
    <w:rsid w:val="00E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6081"/>
  </w:style>
  <w:style w:type="character" w:styleId="af4">
    <w:name w:val="Emphasis"/>
    <w:qFormat/>
    <w:rsid w:val="00E4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nnica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336FBF877D534D0B751116A82B61C94032548BBDA00628D79F3939412B072330188DD073uF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2023-02-03T11:29:00Z</dcterms:created>
  <dcterms:modified xsi:type="dcterms:W3CDTF">2023-09-21T05:26:00Z</dcterms:modified>
</cp:coreProperties>
</file>